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755"/>
        <w:gridCol w:w="486"/>
        <w:gridCol w:w="4734"/>
      </w:tblGrid>
      <w:tr w:rsidR="00925F4F" w:rsidRPr="00E87C30" w14:paraId="50A8DBE3" w14:textId="77777777" w:rsidTr="00F2520A">
        <w:trPr>
          <w:trHeight w:val="1333"/>
        </w:trPr>
        <w:tc>
          <w:tcPr>
            <w:tcW w:w="4755" w:type="dxa"/>
          </w:tcPr>
          <w:p w14:paraId="58DF2E9C" w14:textId="77777777" w:rsidR="00925F4F" w:rsidRPr="00E87C30" w:rsidRDefault="00925F4F" w:rsidP="00925F4F">
            <w:pPr>
              <w:rPr>
                <w:rFonts w:ascii="Garamond" w:hAnsi="Garamond"/>
                <w14:textOutline w14:w="9525" w14:cap="rnd" w14:cmpd="sng" w14:algn="ctr">
                  <w14:noFill/>
                  <w14:prstDash w14:val="solid"/>
                  <w14:bevel/>
                </w14:textOutline>
              </w:rPr>
            </w:pPr>
            <w:r w:rsidRPr="00E87C30">
              <w:rPr>
                <w:rFonts w:ascii="Garamond" w:hAnsi="Garamond"/>
                <w:noProof/>
                <w:lang w:eastAsia="en-AU"/>
                <w14:textOutline w14:w="9525" w14:cap="rnd" w14:cmpd="sng" w14:algn="ctr">
                  <w14:noFill/>
                  <w14:prstDash w14:val="solid"/>
                  <w14:bevel/>
                </w14:textOutline>
              </w:rPr>
              <w:drawing>
                <wp:inline distT="0" distB="0" distL="0" distR="0" wp14:anchorId="33A50F93" wp14:editId="5E53561D">
                  <wp:extent cx="1882775" cy="1035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 logo-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000" cy="1051283"/>
                          </a:xfrm>
                          <a:prstGeom prst="rect">
                            <a:avLst/>
                          </a:prstGeom>
                        </pic:spPr>
                      </pic:pic>
                    </a:graphicData>
                  </a:graphic>
                </wp:inline>
              </w:drawing>
            </w:r>
          </w:p>
        </w:tc>
        <w:tc>
          <w:tcPr>
            <w:tcW w:w="5219" w:type="dxa"/>
            <w:gridSpan w:val="2"/>
          </w:tcPr>
          <w:p w14:paraId="050BF277" w14:textId="77777777" w:rsidR="00925F4F" w:rsidRPr="00E87C30" w:rsidRDefault="00925F4F" w:rsidP="00925F4F">
            <w:pPr>
              <w:jc w:val="right"/>
              <w:rPr>
                <w:rFonts w:ascii="Garamond" w:hAnsi="Garamond"/>
                <w:b/>
                <w:sz w:val="36"/>
                <w:szCs w:val="36"/>
                <w14:textOutline w14:w="9525" w14:cap="rnd" w14:cmpd="sng" w14:algn="ctr">
                  <w14:noFill/>
                  <w14:prstDash w14:val="solid"/>
                  <w14:bevel/>
                </w14:textOutline>
              </w:rPr>
            </w:pPr>
            <w:r w:rsidRPr="00E87C30">
              <w:rPr>
                <w:rFonts w:ascii="Garamond" w:hAnsi="Garamond"/>
                <w:b/>
                <w:sz w:val="36"/>
                <w:szCs w:val="36"/>
                <w14:textOutline w14:w="9525" w14:cap="rnd" w14:cmpd="sng" w14:algn="ctr">
                  <w14:noFill/>
                  <w14:prstDash w14:val="solid"/>
                  <w14:bevel/>
                </w14:textOutline>
              </w:rPr>
              <w:t>Newsletter</w:t>
            </w:r>
          </w:p>
          <w:p w14:paraId="36615FE6" w14:textId="77777777" w:rsidR="00925F4F" w:rsidRPr="00E87C30" w:rsidRDefault="00925F4F" w:rsidP="00925F4F">
            <w:pPr>
              <w:jc w:val="right"/>
              <w:rPr>
                <w:rFonts w:ascii="Garamond" w:hAnsi="Garamond"/>
                <w:b/>
                <w:sz w:val="28"/>
                <w:szCs w:val="28"/>
                <w14:textOutline w14:w="9525" w14:cap="rnd" w14:cmpd="sng" w14:algn="ctr">
                  <w14:noFill/>
                  <w14:prstDash w14:val="solid"/>
                  <w14:bevel/>
                </w14:textOutline>
              </w:rPr>
            </w:pPr>
            <w:r w:rsidRPr="00E87C30">
              <w:rPr>
                <w:rFonts w:ascii="Garamond" w:hAnsi="Garamond"/>
                <w:b/>
                <w:sz w:val="36"/>
                <w:szCs w:val="36"/>
                <w14:textOutline w14:w="9525" w14:cap="rnd" w14:cmpd="sng" w14:algn="ctr">
                  <w14:noFill/>
                  <w14:prstDash w14:val="solid"/>
                  <w14:bevel/>
                </w14:textOutline>
              </w:rPr>
              <w:t>Tax &amp; Super</w:t>
            </w:r>
          </w:p>
        </w:tc>
      </w:tr>
      <w:tr w:rsidR="00925F4F" w:rsidRPr="00E87C30" w14:paraId="530E3E3D" w14:textId="77777777" w:rsidTr="00F2520A">
        <w:trPr>
          <w:trHeight w:val="194"/>
        </w:trPr>
        <w:tc>
          <w:tcPr>
            <w:tcW w:w="9975" w:type="dxa"/>
            <w:gridSpan w:val="3"/>
          </w:tcPr>
          <w:p w14:paraId="79086B6D" w14:textId="77777777" w:rsidR="00925F4F" w:rsidRPr="00E87C30" w:rsidRDefault="00925F4F" w:rsidP="00925F4F">
            <w:pPr>
              <w:rPr>
                <w:rFonts w:ascii="Garamond" w:hAnsi="Garamond"/>
                <w14:textOutline w14:w="9525" w14:cap="rnd" w14:cmpd="sng" w14:algn="ctr">
                  <w14:noFill/>
                  <w14:prstDash w14:val="solid"/>
                  <w14:bevel/>
                </w14:textOutline>
              </w:rPr>
            </w:pPr>
          </w:p>
        </w:tc>
      </w:tr>
      <w:tr w:rsidR="00925F4F" w:rsidRPr="00E87C30" w14:paraId="359558ED" w14:textId="77777777" w:rsidTr="00F2520A">
        <w:trPr>
          <w:trHeight w:val="369"/>
        </w:trPr>
        <w:tc>
          <w:tcPr>
            <w:tcW w:w="9975" w:type="dxa"/>
            <w:gridSpan w:val="3"/>
            <w:shd w:val="clear" w:color="auto" w:fill="0070C0"/>
            <w:vAlign w:val="center"/>
          </w:tcPr>
          <w:p w14:paraId="64769DEC" w14:textId="4D8F4968" w:rsidR="00925F4F" w:rsidRPr="00E87C30" w:rsidRDefault="00FE2A6F" w:rsidP="00925F4F">
            <w:pPr>
              <w:spacing w:line="276" w:lineRule="auto"/>
              <w:ind w:right="255"/>
              <w:jc w:val="right"/>
              <w:rPr>
                <w:rFonts w:ascii="Garamond" w:hAnsi="Garamond"/>
                <w:b/>
                <w:color w:val="FFFFFF" w:themeColor="background1"/>
                <w14:textOutline w14:w="9525" w14:cap="rnd" w14:cmpd="sng" w14:algn="ctr">
                  <w14:noFill/>
                  <w14:prstDash w14:val="solid"/>
                  <w14:bevel/>
                </w14:textOutline>
              </w:rPr>
            </w:pPr>
            <w:r>
              <w:rPr>
                <w:rFonts w:ascii="Garamond" w:hAnsi="Garamond"/>
                <w:b/>
                <w:color w:val="FFFFFF" w:themeColor="background1"/>
                <w14:textOutline w14:w="9525" w14:cap="rnd" w14:cmpd="sng" w14:algn="ctr">
                  <w14:noFill/>
                  <w14:prstDash w14:val="solid"/>
                  <w14:bevel/>
                </w14:textOutline>
              </w:rPr>
              <w:t>November</w:t>
            </w:r>
            <w:r w:rsidR="00925F4F">
              <w:rPr>
                <w:rFonts w:ascii="Garamond" w:hAnsi="Garamond"/>
                <w:b/>
                <w:color w:val="FFFFFF" w:themeColor="background1"/>
                <w14:textOutline w14:w="9525" w14:cap="rnd" w14:cmpd="sng" w14:algn="ctr">
                  <w14:noFill/>
                  <w14:prstDash w14:val="solid"/>
                  <w14:bevel/>
                </w14:textOutline>
              </w:rPr>
              <w:t xml:space="preserve"> 2018</w:t>
            </w:r>
          </w:p>
        </w:tc>
      </w:tr>
      <w:tr w:rsidR="00925F4F" w:rsidRPr="00E87C30" w14:paraId="24C235C2" w14:textId="77777777" w:rsidTr="00F2520A">
        <w:trPr>
          <w:trHeight w:val="194"/>
        </w:trPr>
        <w:tc>
          <w:tcPr>
            <w:tcW w:w="9975" w:type="dxa"/>
            <w:gridSpan w:val="3"/>
          </w:tcPr>
          <w:p w14:paraId="3D814F0B" w14:textId="77777777" w:rsidR="00925F4F" w:rsidRPr="00E87C30" w:rsidRDefault="00925F4F" w:rsidP="00925F4F">
            <w:pPr>
              <w:rPr>
                <w:rFonts w:ascii="Garamond" w:hAnsi="Garamond"/>
                <w14:textOutline w14:w="9525" w14:cap="rnd" w14:cmpd="sng" w14:algn="ctr">
                  <w14:noFill/>
                  <w14:prstDash w14:val="solid"/>
                  <w14:bevel/>
                </w14:textOutline>
              </w:rPr>
            </w:pPr>
          </w:p>
        </w:tc>
      </w:tr>
      <w:tr w:rsidR="00925F4F" w:rsidRPr="00E87C30" w14:paraId="00B6A5A5" w14:textId="77777777" w:rsidTr="00F2520A">
        <w:trPr>
          <w:trHeight w:val="4006"/>
        </w:trPr>
        <w:tc>
          <w:tcPr>
            <w:tcW w:w="4755" w:type="dxa"/>
            <w:tcBorders>
              <w:top w:val="single" w:sz="4" w:space="0" w:color="auto"/>
              <w:left w:val="single" w:sz="4" w:space="0" w:color="auto"/>
              <w:bottom w:val="single" w:sz="4" w:space="0" w:color="auto"/>
              <w:right w:val="single" w:sz="4" w:space="0" w:color="auto"/>
            </w:tcBorders>
          </w:tcPr>
          <w:p w14:paraId="4995285F" w14:textId="77777777" w:rsidR="00925F4F" w:rsidRDefault="00925F4F" w:rsidP="00925F4F">
            <w:pPr>
              <w:pStyle w:val="NoSpacing"/>
              <w:spacing w:before="20" w:afterLines="20" w:after="48"/>
              <w:ind w:left="113" w:right="113"/>
              <w:rPr>
                <w:rFonts w:ascii="Garamond" w:hAnsi="Garamond"/>
                <w:b/>
                <w:sz w:val="24"/>
                <w:szCs w:val="24"/>
                <w14:textOutline w14:w="9525" w14:cap="rnd" w14:cmpd="sng" w14:algn="ctr">
                  <w14:noFill/>
                  <w14:prstDash w14:val="solid"/>
                  <w14:bevel/>
                </w14:textOutline>
              </w:rPr>
            </w:pPr>
            <w:r w:rsidRPr="00E87C30">
              <w:rPr>
                <w:rFonts w:ascii="Garamond" w:hAnsi="Garamond"/>
                <w:b/>
                <w:sz w:val="24"/>
                <w:szCs w:val="24"/>
                <w14:textOutline w14:w="9525" w14:cap="rnd" w14:cmpd="sng" w14:algn="ctr">
                  <w14:noFill/>
                  <w14:prstDash w14:val="solid"/>
                  <w14:bevel/>
                </w14:textOutline>
              </w:rPr>
              <w:br/>
              <w:t>About this newsletter</w:t>
            </w:r>
            <w:r>
              <w:rPr>
                <w:rFonts w:ascii="Garamond" w:hAnsi="Garamond"/>
                <w:b/>
                <w:sz w:val="24"/>
                <w:szCs w:val="24"/>
                <w14:textOutline w14:w="9525" w14:cap="rnd" w14:cmpd="sng" w14:algn="ctr">
                  <w14:noFill/>
                  <w14:prstDash w14:val="solid"/>
                  <w14:bevel/>
                </w14:textOutline>
              </w:rPr>
              <w:t>:</w:t>
            </w:r>
          </w:p>
          <w:p w14:paraId="7A3A96A1" w14:textId="77777777" w:rsidR="00925F4F" w:rsidRPr="00E87C30" w:rsidRDefault="00925F4F" w:rsidP="00925F4F">
            <w:pPr>
              <w:pStyle w:val="NoSpacing"/>
              <w:spacing w:before="20" w:afterLines="20" w:after="48"/>
              <w:ind w:left="113" w:right="113"/>
              <w:rPr>
                <w:rFonts w:ascii="Garamond" w:hAnsi="Garamond"/>
                <w:b/>
                <w:sz w:val="24"/>
                <w:szCs w:val="24"/>
                <w14:textOutline w14:w="9525" w14:cap="rnd" w14:cmpd="sng" w14:algn="ctr">
                  <w14:noFill/>
                  <w14:prstDash w14:val="solid"/>
                  <w14:bevel/>
                </w14:textOutline>
              </w:rPr>
            </w:pPr>
          </w:p>
          <w:p w14:paraId="34B1A1B0" w14:textId="77777777" w:rsidR="00925F4F" w:rsidRDefault="00925F4F" w:rsidP="00925F4F">
            <w:pPr>
              <w:pStyle w:val="NoSpacing"/>
              <w:spacing w:before="20" w:afterLines="20" w:after="48"/>
              <w:ind w:left="113" w:right="113"/>
              <w:jc w:val="both"/>
              <w:rPr>
                <w:rFonts w:ascii="Garamond" w:hAnsi="Garamond"/>
                <w:szCs w:val="20"/>
                <w14:textOutline w14:w="9525" w14:cap="rnd" w14:cmpd="sng" w14:algn="ctr">
                  <w14:noFill/>
                  <w14:prstDash w14:val="solid"/>
                  <w14:bevel/>
                </w14:textOutline>
              </w:rPr>
            </w:pPr>
            <w:r w:rsidRPr="00E87C30">
              <w:rPr>
                <w:rFonts w:ascii="Garamond" w:hAnsi="Garamond"/>
                <w:szCs w:val="20"/>
                <w14:textOutline w14:w="9525" w14:cap="rnd" w14:cmpd="sng" w14:algn="ctr">
                  <w14:noFill/>
                  <w14:prstDash w14:val="solid"/>
                  <w14:bevel/>
                </w14:textOutline>
              </w:rPr>
              <w:t>Welcome to SME's monthly newsletter - full of great content and ideas!</w:t>
            </w:r>
          </w:p>
          <w:p w14:paraId="1D94B8E0" w14:textId="77777777" w:rsidR="00925F4F" w:rsidRPr="00E87C30" w:rsidRDefault="00925F4F" w:rsidP="00925F4F">
            <w:pPr>
              <w:pStyle w:val="NoSpacing"/>
              <w:spacing w:before="20" w:afterLines="20" w:after="48"/>
              <w:ind w:left="113" w:right="113"/>
              <w:jc w:val="both"/>
              <w:rPr>
                <w:rFonts w:ascii="Garamond" w:hAnsi="Garamond"/>
                <w:szCs w:val="20"/>
                <w14:textOutline w14:w="9525" w14:cap="rnd" w14:cmpd="sng" w14:algn="ctr">
                  <w14:noFill/>
                  <w14:prstDash w14:val="solid"/>
                  <w14:bevel/>
                </w14:textOutline>
              </w:rPr>
            </w:pPr>
          </w:p>
          <w:p w14:paraId="6D853E57" w14:textId="77777777" w:rsidR="00925F4F" w:rsidRDefault="00925F4F" w:rsidP="00925F4F">
            <w:pPr>
              <w:pStyle w:val="NoSpacing"/>
              <w:spacing w:before="20" w:afterLines="20" w:after="48"/>
              <w:ind w:left="113" w:right="113"/>
              <w:rPr>
                <w:rFonts w:ascii="Garamond" w:hAnsi="Garamond"/>
                <w:b/>
                <w:i/>
                <w:szCs w:val="20"/>
                <w14:textOutline w14:w="9525" w14:cap="rnd" w14:cmpd="sng" w14:algn="ctr">
                  <w14:noFill/>
                  <w14:prstDash w14:val="solid"/>
                  <w14:bevel/>
                </w14:textOutline>
              </w:rPr>
            </w:pPr>
            <w:r w:rsidRPr="00E87C30">
              <w:rPr>
                <w:rFonts w:ascii="Garamond" w:hAnsi="Garamond"/>
                <w:b/>
                <w:i/>
                <w:szCs w:val="20"/>
                <w14:textOutline w14:w="9525" w14:cap="rnd" w14:cmpd="sng" w14:algn="ctr">
                  <w14:noFill/>
                  <w14:prstDash w14:val="solid"/>
                  <w14:bevel/>
                </w14:textOutline>
              </w:rPr>
              <w:t>“At SME Care and Communication is Key!"</w:t>
            </w:r>
          </w:p>
          <w:p w14:paraId="2BB58F0F" w14:textId="77777777" w:rsidR="00925F4F" w:rsidRPr="00E87C30" w:rsidRDefault="00925F4F" w:rsidP="00925F4F">
            <w:pPr>
              <w:pStyle w:val="NoSpacing"/>
              <w:spacing w:before="20" w:afterLines="20" w:after="48"/>
              <w:ind w:left="113" w:right="113"/>
              <w:rPr>
                <w:rFonts w:ascii="Garamond" w:hAnsi="Garamond"/>
                <w:b/>
                <w:i/>
                <w:szCs w:val="20"/>
                <w14:textOutline w14:w="9525" w14:cap="rnd" w14:cmpd="sng" w14:algn="ctr">
                  <w14:noFill/>
                  <w14:prstDash w14:val="solid"/>
                  <w14:bevel/>
                </w14:textOutline>
              </w:rPr>
            </w:pPr>
          </w:p>
          <w:p w14:paraId="6F3E0B3D" w14:textId="77777777" w:rsidR="00925F4F" w:rsidRPr="00E87C30" w:rsidRDefault="00925F4F" w:rsidP="00925F4F">
            <w:pPr>
              <w:pStyle w:val="NoSpacing"/>
              <w:spacing w:before="20" w:afterLines="20" w:after="48"/>
              <w:ind w:left="113" w:right="113"/>
              <w:jc w:val="both"/>
              <w:rPr>
                <w:rFonts w:ascii="Garamond" w:hAnsi="Garamond"/>
                <w:szCs w:val="20"/>
                <w14:textOutline w14:w="9525" w14:cap="rnd" w14:cmpd="sng" w14:algn="ctr">
                  <w14:noFill/>
                  <w14:prstDash w14:val="solid"/>
                  <w14:bevel/>
                </w14:textOutline>
              </w:rPr>
            </w:pPr>
            <w:r w:rsidRPr="00E87C30">
              <w:rPr>
                <w:rFonts w:ascii="Garamond" w:hAnsi="Garamond"/>
                <w:szCs w:val="20"/>
                <w14:textOutline w14:w="9525" w14:cap="rnd" w14:cmpd="sng" w14:algn="ctr">
                  <w14:noFill/>
                  <w14:prstDash w14:val="solid"/>
                  <w14:bevel/>
                </w14:textOutline>
              </w:rPr>
              <w:t>Our newsletter highlights current tax developments and topical areas of tax. Any questions from this easy read please call us to discuss.</w:t>
            </w:r>
          </w:p>
          <w:p w14:paraId="3A42065E" w14:textId="77777777" w:rsidR="00925F4F" w:rsidRDefault="00925F4F" w:rsidP="00925F4F">
            <w:pPr>
              <w:spacing w:before="20" w:afterLines="20" w:after="48"/>
              <w:ind w:left="113" w:right="113"/>
              <w:rPr>
                <w:rFonts w:ascii="Garamond" w:hAnsi="Garamond"/>
                <w:szCs w:val="20"/>
                <w14:textOutline w14:w="9525" w14:cap="rnd" w14:cmpd="sng" w14:algn="ctr">
                  <w14:noFill/>
                  <w14:prstDash w14:val="solid"/>
                  <w14:bevel/>
                </w14:textOutline>
              </w:rPr>
            </w:pPr>
          </w:p>
          <w:p w14:paraId="11FB0A82" w14:textId="77777777" w:rsidR="00925F4F" w:rsidRPr="00E87C30" w:rsidRDefault="00925F4F" w:rsidP="00925F4F">
            <w:pPr>
              <w:spacing w:before="20" w:afterLines="20" w:after="48"/>
              <w:ind w:left="113" w:right="113"/>
              <w:rPr>
                <w:rFonts w:ascii="Garamond" w:hAnsi="Garamond"/>
                <w:szCs w:val="20"/>
                <w14:textOutline w14:w="9525" w14:cap="rnd" w14:cmpd="sng" w14:algn="ctr">
                  <w14:noFill/>
                  <w14:prstDash w14:val="solid"/>
                  <w14:bevel/>
                </w14:textOutline>
              </w:rPr>
            </w:pPr>
            <w:r w:rsidRPr="00E87C30">
              <w:rPr>
                <w:rFonts w:ascii="Garamond" w:hAnsi="Garamond"/>
                <w:szCs w:val="20"/>
                <w14:textOutline w14:w="9525" w14:cap="rnd" w14:cmpd="sng" w14:algn="ctr">
                  <w14:noFill/>
                  <w14:prstDash w14:val="solid"/>
                  <w14:bevel/>
                </w14:textOutline>
              </w:rPr>
              <w:t xml:space="preserve">T: 02 9411 2644 </w:t>
            </w:r>
            <w:proofErr w:type="gramStart"/>
            <w:r w:rsidRPr="00E87C30">
              <w:rPr>
                <w:rFonts w:ascii="Garamond" w:hAnsi="Garamond"/>
                <w:szCs w:val="20"/>
                <w14:textOutline w14:w="9525" w14:cap="rnd" w14:cmpd="sng" w14:algn="ctr">
                  <w14:noFill/>
                  <w14:prstDash w14:val="solid"/>
                  <w14:bevel/>
                </w14:textOutline>
              </w:rPr>
              <w:t>|  E</w:t>
            </w:r>
            <w:proofErr w:type="gramEnd"/>
            <w:r w:rsidRPr="00E87C30">
              <w:rPr>
                <w:rFonts w:ascii="Garamond" w:hAnsi="Garamond"/>
                <w:szCs w:val="20"/>
                <w14:textOutline w14:w="9525" w14:cap="rnd" w14:cmpd="sng" w14:algn="ctr">
                  <w14:noFill/>
                  <w14:prstDash w14:val="solid"/>
                  <w14:bevel/>
                </w14:textOutline>
              </w:rPr>
              <w:t xml:space="preserve">: </w:t>
            </w:r>
            <w:hyperlink r:id="rId9" w:history="1">
              <w:r w:rsidRPr="00E87C30">
                <w:rPr>
                  <w:rStyle w:val="Hyperlink"/>
                  <w:rFonts w:ascii="Garamond" w:hAnsi="Garamond"/>
                  <w:color w:val="auto"/>
                  <w:szCs w:val="20"/>
                  <w:u w:val="none"/>
                  <w14:textOutline w14:w="9525" w14:cap="rnd" w14:cmpd="sng" w14:algn="ctr">
                    <w14:noFill/>
                    <w14:prstDash w14:val="solid"/>
                    <w14:bevel/>
                  </w14:textOutline>
                </w:rPr>
                <w:t>stuart@smeba.com.au</w:t>
              </w:r>
            </w:hyperlink>
          </w:p>
          <w:p w14:paraId="66CEE634" w14:textId="77777777" w:rsidR="00925F4F" w:rsidRPr="00E87C30" w:rsidRDefault="00925F4F" w:rsidP="00925F4F">
            <w:pPr>
              <w:spacing w:before="20" w:afterLines="20" w:after="48"/>
              <w:ind w:left="113" w:right="113"/>
              <w:rPr>
                <w:rFonts w:ascii="Garamond" w:hAnsi="Garamond"/>
                <w:sz w:val="20"/>
                <w:szCs w:val="20"/>
                <w14:textOutline w14:w="9525" w14:cap="rnd" w14:cmpd="sng" w14:algn="ctr">
                  <w14:noFill/>
                  <w14:prstDash w14:val="solid"/>
                  <w14:bevel/>
                </w14:textOutline>
              </w:rPr>
            </w:pPr>
          </w:p>
          <w:p w14:paraId="2A6255F3" w14:textId="77777777" w:rsidR="00925F4F" w:rsidRPr="00E87C30" w:rsidRDefault="00925F4F" w:rsidP="00925F4F">
            <w:pPr>
              <w:spacing w:before="20" w:afterLines="20" w:after="48"/>
              <w:ind w:left="113" w:right="113"/>
              <w:jc w:val="center"/>
              <w:rPr>
                <w:rFonts w:ascii="Bodoni MT Black" w:hAnsi="Bodoni MT Black"/>
                <w:b/>
                <w:color w:val="FF0000"/>
                <w:sz w:val="20"/>
                <w:szCs w:val="20"/>
                <w14:textOutline w14:w="9525" w14:cap="rnd" w14:cmpd="sng" w14:algn="ctr">
                  <w14:noFill/>
                  <w14:prstDash w14:val="solid"/>
                  <w14:bevel/>
                </w14:textOutline>
              </w:rPr>
            </w:pPr>
          </w:p>
        </w:tc>
        <w:tc>
          <w:tcPr>
            <w:tcW w:w="486" w:type="dxa"/>
            <w:tcBorders>
              <w:left w:val="single" w:sz="4" w:space="0" w:color="auto"/>
            </w:tcBorders>
          </w:tcPr>
          <w:p w14:paraId="198804D3" w14:textId="77777777" w:rsidR="00925F4F" w:rsidRPr="00E87C30" w:rsidRDefault="00925F4F" w:rsidP="00925F4F">
            <w:pPr>
              <w:rPr>
                <w:rFonts w:ascii="Garamond" w:hAnsi="Garamond"/>
                <w:i/>
                <w:sz w:val="20"/>
                <w:szCs w:val="20"/>
                <w14:textOutline w14:w="9525" w14:cap="rnd" w14:cmpd="sng" w14:algn="ctr">
                  <w14:noFill/>
                  <w14:prstDash w14:val="solid"/>
                  <w14:bevel/>
                </w14:textOutline>
              </w:rPr>
            </w:pPr>
          </w:p>
        </w:tc>
        <w:tc>
          <w:tcPr>
            <w:tcW w:w="4732" w:type="dxa"/>
            <w:shd w:val="clear" w:color="auto" w:fill="D9D9D9" w:themeFill="background1" w:themeFillShade="D9"/>
          </w:tcPr>
          <w:p w14:paraId="122DD950" w14:textId="77777777" w:rsidR="00925F4F" w:rsidRPr="00E87C30" w:rsidRDefault="00925F4F" w:rsidP="00925F4F">
            <w:pPr>
              <w:pStyle w:val="NoSpacing"/>
              <w:spacing w:line="276" w:lineRule="auto"/>
              <w:ind w:left="369" w:right="340"/>
              <w:rPr>
                <w:rFonts w:ascii="Garamond" w:hAnsi="Garamond"/>
                <w:b/>
                <w:i/>
                <w:szCs w:val="24"/>
                <w14:textOutline w14:w="9525" w14:cap="rnd" w14:cmpd="sng" w14:algn="ctr">
                  <w14:noFill/>
                  <w14:prstDash w14:val="solid"/>
                  <w14:bevel/>
                </w14:textOutline>
              </w:rPr>
            </w:pPr>
          </w:p>
          <w:p w14:paraId="03F6908F" w14:textId="77777777" w:rsidR="00925F4F" w:rsidRPr="00E87C30" w:rsidRDefault="00925F4F" w:rsidP="00925F4F">
            <w:pPr>
              <w:pStyle w:val="NoSpacing"/>
              <w:spacing w:line="276" w:lineRule="auto"/>
              <w:ind w:left="113" w:right="113"/>
              <w:rPr>
                <w:rFonts w:ascii="Garamond" w:hAnsi="Garamond"/>
                <w:b/>
                <w:i/>
                <w:szCs w:val="24"/>
                <w14:textOutline w14:w="9525" w14:cap="rnd" w14:cmpd="sng" w14:algn="ctr">
                  <w14:noFill/>
                  <w14:prstDash w14:val="solid"/>
                  <w14:bevel/>
                </w14:textOutline>
              </w:rPr>
            </w:pPr>
            <w:r w:rsidRPr="00E87C30">
              <w:rPr>
                <w:rFonts w:ascii="Garamond" w:hAnsi="Garamond"/>
                <w:b/>
                <w:i/>
                <w:szCs w:val="24"/>
                <w14:textOutline w14:w="9525" w14:cap="rnd" w14:cmpd="sng" w14:algn="ctr">
                  <w14:noFill/>
                  <w14:prstDash w14:val="solid"/>
                  <w14:bevel/>
                </w14:textOutline>
              </w:rPr>
              <w:t>In this issue:</w:t>
            </w:r>
          </w:p>
          <w:p w14:paraId="25145DCC" w14:textId="77777777" w:rsidR="00925F4F" w:rsidRPr="00E87C30" w:rsidRDefault="00925F4F" w:rsidP="00925F4F">
            <w:pPr>
              <w:pStyle w:val="NoSpacing"/>
              <w:spacing w:line="276" w:lineRule="auto"/>
              <w:ind w:right="113"/>
              <w:rPr>
                <w:rFonts w:ascii="Garamond" w:hAnsi="Garamond"/>
                <w:b/>
                <w:i/>
                <w:szCs w:val="24"/>
                <w14:textOutline w14:w="9525" w14:cap="rnd" w14:cmpd="sng" w14:algn="ctr">
                  <w14:noFill/>
                  <w14:prstDash w14:val="solid"/>
                  <w14:bevel/>
                </w14:textOutline>
              </w:rPr>
            </w:pPr>
          </w:p>
          <w:p w14:paraId="15153454" w14:textId="00C33281" w:rsidR="00860CEA" w:rsidRDefault="00DC17FA" w:rsidP="00DC17FA">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What the Taxman is Thinking</w:t>
            </w:r>
            <w:r w:rsidR="000B7A71">
              <w:rPr>
                <w:rFonts w:ascii="Garamond" w:hAnsi="Garamond"/>
                <w:i/>
                <w14:textOutline w14:w="9525" w14:cap="rnd" w14:cmpd="sng" w14:algn="ctr">
                  <w14:noFill/>
                  <w14:prstDash w14:val="solid"/>
                  <w14:bevel/>
                </w14:textOutline>
              </w:rPr>
              <w:t xml:space="preserve"> </w:t>
            </w:r>
            <w:r>
              <w:rPr>
                <w:rFonts w:ascii="Garamond" w:hAnsi="Garamond"/>
                <w:i/>
                <w14:textOutline w14:w="9525" w14:cap="rnd" w14:cmpd="sng" w14:algn="ctr">
                  <w14:noFill/>
                  <w14:prstDash w14:val="solid"/>
                  <w14:bevel/>
                </w14:textOutline>
              </w:rPr>
              <w:t xml:space="preserve">                                   </w:t>
            </w:r>
            <w:r w:rsidR="00522D38">
              <w:rPr>
                <w:rFonts w:ascii="Garamond" w:hAnsi="Garamond"/>
                <w:i/>
                <w14:textOutline w14:w="9525" w14:cap="rnd" w14:cmpd="sng" w14:algn="ctr">
                  <w14:noFill/>
                  <w14:prstDash w14:val="solid"/>
                  <w14:bevel/>
                </w14:textOutline>
              </w:rPr>
              <w:t>1</w:t>
            </w:r>
            <w:r w:rsidR="005B77DD">
              <w:rPr>
                <w:rFonts w:ascii="Garamond" w:hAnsi="Garamond"/>
                <w:i/>
                <w14:textOutline w14:w="9525" w14:cap="rnd" w14:cmpd="sng" w14:algn="ctr">
                  <w14:noFill/>
                  <w14:prstDash w14:val="solid"/>
                  <w14:bevel/>
                </w14:textOutline>
              </w:rPr>
              <w:t xml:space="preserve">    </w:t>
            </w:r>
            <w:r w:rsidR="00860CEA">
              <w:rPr>
                <w:rFonts w:ascii="Garamond" w:hAnsi="Garamond"/>
                <w:i/>
                <w14:textOutline w14:w="9525" w14:cap="rnd" w14:cmpd="sng" w14:algn="ctr">
                  <w14:noFill/>
                  <w14:prstDash w14:val="solid"/>
                  <w14:bevel/>
                </w14:textOutline>
              </w:rPr>
              <w:t xml:space="preserve">  </w:t>
            </w:r>
          </w:p>
          <w:p w14:paraId="5583E990" w14:textId="518F30ED" w:rsidR="004768B9" w:rsidRDefault="00DC17FA" w:rsidP="00925F4F">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 xml:space="preserve">Christmas and the Taxman                          </w:t>
            </w:r>
            <w:r w:rsidR="000B7A71">
              <w:rPr>
                <w:rFonts w:ascii="Garamond" w:hAnsi="Garamond"/>
                <w:i/>
                <w14:textOutline w14:w="9525" w14:cap="rnd" w14:cmpd="sng" w14:algn="ctr">
                  <w14:noFill/>
                  <w14:prstDash w14:val="solid"/>
                  <w14:bevel/>
                </w14:textOutline>
              </w:rPr>
              <w:t xml:space="preserve">       </w:t>
            </w:r>
            <w:r w:rsidR="00522D38">
              <w:rPr>
                <w:rFonts w:ascii="Garamond" w:hAnsi="Garamond"/>
                <w:i/>
                <w14:textOutline w14:w="9525" w14:cap="rnd" w14:cmpd="sng" w14:algn="ctr">
                  <w14:noFill/>
                  <w14:prstDash w14:val="solid"/>
                  <w14:bevel/>
                </w14:textOutline>
              </w:rPr>
              <w:t xml:space="preserve"> </w:t>
            </w:r>
            <w:r w:rsidR="00E36A79">
              <w:rPr>
                <w:rFonts w:ascii="Garamond" w:hAnsi="Garamond"/>
                <w:i/>
                <w14:textOutline w14:w="9525" w14:cap="rnd" w14:cmpd="sng" w14:algn="ctr">
                  <w14:noFill/>
                  <w14:prstDash w14:val="solid"/>
                  <w14:bevel/>
                </w14:textOutline>
              </w:rPr>
              <w:t xml:space="preserve">      </w:t>
            </w:r>
            <w:r w:rsidR="00362E7E">
              <w:rPr>
                <w:rFonts w:ascii="Garamond" w:hAnsi="Garamond"/>
                <w:i/>
                <w14:textOutline w14:w="9525" w14:cap="rnd" w14:cmpd="sng" w14:algn="ctr">
                  <w14:noFill/>
                  <w14:prstDash w14:val="solid"/>
                  <w14:bevel/>
                </w14:textOutline>
              </w:rPr>
              <w:t xml:space="preserve"> </w:t>
            </w:r>
            <w:r w:rsidR="00E16D9D">
              <w:rPr>
                <w:rFonts w:ascii="Garamond" w:hAnsi="Garamond"/>
                <w:i/>
                <w14:textOutline w14:w="9525" w14:cap="rnd" w14:cmpd="sng" w14:algn="ctr">
                  <w14:noFill/>
                  <w14:prstDash w14:val="solid"/>
                  <w14:bevel/>
                </w14:textOutline>
              </w:rPr>
              <w:t>5</w:t>
            </w:r>
            <w:r w:rsidR="00E36A79">
              <w:rPr>
                <w:rFonts w:ascii="Garamond" w:hAnsi="Garamond"/>
                <w:i/>
                <w14:textOutline w14:w="9525" w14:cap="rnd" w14:cmpd="sng" w14:algn="ctr">
                  <w14:noFill/>
                  <w14:prstDash w14:val="solid"/>
                  <w14:bevel/>
                </w14:textOutline>
              </w:rPr>
              <w:t xml:space="preserve">     </w:t>
            </w:r>
            <w:r w:rsidR="004768B9">
              <w:rPr>
                <w:rFonts w:ascii="Garamond" w:hAnsi="Garamond"/>
                <w:i/>
                <w14:textOutline w14:w="9525" w14:cap="rnd" w14:cmpd="sng" w14:algn="ctr">
                  <w14:noFill/>
                  <w14:prstDash w14:val="solid"/>
                  <w14:bevel/>
                </w14:textOutline>
              </w:rPr>
              <w:t xml:space="preserve">                    </w:t>
            </w:r>
            <w:r w:rsidR="00E36A79">
              <w:rPr>
                <w:rFonts w:ascii="Garamond" w:hAnsi="Garamond"/>
                <w:i/>
                <w14:textOutline w14:w="9525" w14:cap="rnd" w14:cmpd="sng" w14:algn="ctr">
                  <w14:noFill/>
                  <w14:prstDash w14:val="solid"/>
                  <w14:bevel/>
                </w14:textOutline>
              </w:rPr>
              <w:t xml:space="preserve"> </w:t>
            </w:r>
            <w:r w:rsidR="0027466F">
              <w:rPr>
                <w:rFonts w:ascii="Garamond" w:hAnsi="Garamond"/>
                <w:i/>
                <w14:textOutline w14:w="9525" w14:cap="rnd" w14:cmpd="sng" w14:algn="ctr">
                  <w14:noFill/>
                  <w14:prstDash w14:val="solid"/>
                  <w14:bevel/>
                </w14:textOutline>
              </w:rPr>
              <w:t xml:space="preserve"> </w:t>
            </w:r>
            <w:r w:rsidR="00B946DC">
              <w:rPr>
                <w:rFonts w:ascii="Garamond" w:hAnsi="Garamond"/>
                <w:i/>
                <w14:textOutline w14:w="9525" w14:cap="rnd" w14:cmpd="sng" w14:algn="ctr">
                  <w14:noFill/>
                  <w14:prstDash w14:val="solid"/>
                  <w14:bevel/>
                </w14:textOutline>
              </w:rPr>
              <w:t xml:space="preserve">    </w:t>
            </w:r>
          </w:p>
          <w:p w14:paraId="22465EFC" w14:textId="25870EA3" w:rsidR="000D48D1" w:rsidRPr="00E36A79" w:rsidRDefault="000D48D1" w:rsidP="00DC17FA">
            <w:pPr>
              <w:pStyle w:val="NoSpacing"/>
              <w:spacing w:after="120"/>
              <w:ind w:left="113" w:right="113"/>
              <w:rPr>
                <w:rFonts w:ascii="Garamond" w:hAnsi="Garamond"/>
                <w:i/>
                <w14:textOutline w14:w="9525" w14:cap="rnd" w14:cmpd="sng" w14:algn="ctr">
                  <w14:noFill/>
                  <w14:prstDash w14:val="solid"/>
                  <w14:bevel/>
                </w14:textOutline>
              </w:rPr>
            </w:pPr>
          </w:p>
        </w:tc>
      </w:tr>
      <w:tr w:rsidR="00925F4F" w:rsidRPr="00E26F81" w14:paraId="063ED604" w14:textId="77777777" w:rsidTr="00F2520A">
        <w:trPr>
          <w:trHeight w:val="492"/>
        </w:trPr>
        <w:tc>
          <w:tcPr>
            <w:tcW w:w="9975" w:type="dxa"/>
            <w:gridSpan w:val="3"/>
          </w:tcPr>
          <w:p w14:paraId="79FD51FA" w14:textId="77777777" w:rsidR="00925F4F" w:rsidRPr="00E26F81" w:rsidRDefault="00925F4F" w:rsidP="00925F4F">
            <w:pPr>
              <w:pStyle w:val="NoSpacing"/>
              <w:tabs>
                <w:tab w:val="left" w:pos="2145"/>
              </w:tabs>
              <w:jc w:val="center"/>
              <w:rPr>
                <w:rFonts w:ascii="Garamond" w:hAnsi="Garamond"/>
                <w:b/>
                <w14:textOutline w14:w="9525" w14:cap="rnd" w14:cmpd="sng" w14:algn="ctr">
                  <w14:noFill/>
                  <w14:prstDash w14:val="solid"/>
                  <w14:bevel/>
                </w14:textOutline>
              </w:rPr>
            </w:pPr>
          </w:p>
        </w:tc>
      </w:tr>
    </w:tbl>
    <w:p w14:paraId="41945B20" w14:textId="77777777" w:rsidR="00E147C1" w:rsidRDefault="00E147C1" w:rsidP="009B589F">
      <w:pPr>
        <w:ind w:right="-46"/>
        <w:jc w:val="center"/>
        <w:rPr>
          <w:rFonts w:ascii="Garamond" w:hAnsi="Garamond"/>
          <w:b/>
          <w:sz w:val="32"/>
          <w:szCs w:val="32"/>
        </w:rPr>
        <w:sectPr w:rsidR="00E147C1" w:rsidSect="00233FC0">
          <w:footerReference w:type="default" r:id="rId10"/>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num="2" w:space="708"/>
          <w:docGrid w:linePitch="360"/>
        </w:sectPr>
      </w:pPr>
    </w:p>
    <w:p w14:paraId="1A24FF02" w14:textId="77777777" w:rsidR="00E2003E" w:rsidRDefault="00E2003E" w:rsidP="009E5D52">
      <w:pPr>
        <w:ind w:right="-46"/>
        <w:jc w:val="center"/>
        <w:rPr>
          <w:rFonts w:ascii="Garamond" w:hAnsi="Garamond"/>
          <w:b/>
          <w:sz w:val="40"/>
          <w:szCs w:val="40"/>
        </w:rPr>
      </w:pPr>
    </w:p>
    <w:p w14:paraId="694F96B6" w14:textId="07206614" w:rsidR="00807095" w:rsidRPr="009E5D52" w:rsidRDefault="00FE2A6F" w:rsidP="009E5D52">
      <w:pPr>
        <w:ind w:right="-46"/>
        <w:jc w:val="center"/>
        <w:rPr>
          <w:rFonts w:ascii="Garamond" w:hAnsi="Garamond"/>
          <w:b/>
          <w:sz w:val="24"/>
          <w:szCs w:val="24"/>
        </w:rPr>
      </w:pPr>
      <w:r>
        <w:rPr>
          <w:rFonts w:ascii="Garamond" w:hAnsi="Garamond"/>
          <w:b/>
          <w:sz w:val="40"/>
          <w:szCs w:val="40"/>
        </w:rPr>
        <w:t>WHAT THE TAXMAN IS THINKING</w:t>
      </w:r>
      <w:r>
        <w:rPr>
          <w:rFonts w:ascii="Garamond" w:hAnsi="Garamond"/>
          <w:b/>
          <w:sz w:val="40"/>
          <w:szCs w:val="40"/>
        </w:rPr>
        <w:br/>
      </w:r>
      <w:r w:rsidRPr="00FE2A6F">
        <w:rPr>
          <w:rFonts w:ascii="Garamond" w:hAnsi="Garamond"/>
          <w:b/>
          <w:sz w:val="32"/>
          <w:szCs w:val="32"/>
        </w:rPr>
        <w:t>New ATO rulings and ATO’s focus this coming tax return season</w:t>
      </w:r>
    </w:p>
    <w:p w14:paraId="6C538DF5" w14:textId="77777777" w:rsidR="009E5D52" w:rsidRDefault="009E5D52" w:rsidP="00807095">
      <w:pPr>
        <w:ind w:right="-46"/>
        <w:jc w:val="center"/>
        <w:rPr>
          <w:rFonts w:ascii="Garamond" w:hAnsi="Garamond"/>
          <w:b/>
        </w:rPr>
        <w:sectPr w:rsidR="009E5D52" w:rsidSect="009E5D52">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space="708"/>
          <w:docGrid w:linePitch="360"/>
        </w:sectPr>
      </w:pPr>
    </w:p>
    <w:p w14:paraId="6AB69C1A" w14:textId="3AF2C152" w:rsidR="00FE2A6F" w:rsidRPr="00FE2A6F" w:rsidRDefault="00FE2A6F" w:rsidP="00FE2A6F">
      <w:pPr>
        <w:pStyle w:val="ft01"/>
        <w:shd w:val="clear" w:color="auto" w:fill="FFFFFF"/>
        <w:spacing w:after="0"/>
        <w:rPr>
          <w:rFonts w:ascii="Garamond" w:hAnsi="Garamond"/>
          <w:b/>
          <w:bCs/>
          <w:color w:val="231F20"/>
        </w:rPr>
      </w:pPr>
      <w:r w:rsidRPr="00FE2A6F">
        <w:rPr>
          <w:rFonts w:ascii="Garamond" w:hAnsi="Garamond"/>
          <w:b/>
          <w:sz w:val="28"/>
          <w:szCs w:val="28"/>
        </w:rPr>
        <w:t>NEW RULINGS</w:t>
      </w:r>
      <w:r>
        <w:rPr>
          <w:rFonts w:ascii="Garamond" w:hAnsi="Garamond"/>
          <w:b/>
          <w:sz w:val="28"/>
          <w:szCs w:val="28"/>
        </w:rPr>
        <w:br/>
      </w:r>
      <w:r>
        <w:rPr>
          <w:rFonts w:ascii="Garamond" w:hAnsi="Garamond"/>
          <w:b/>
          <w:sz w:val="28"/>
          <w:szCs w:val="28"/>
        </w:rPr>
        <w:br/>
      </w:r>
      <w:r w:rsidRPr="00FE2A6F">
        <w:rPr>
          <w:rFonts w:ascii="Garamond" w:hAnsi="Garamond"/>
          <w:b/>
          <w:bCs/>
          <w:color w:val="231F20"/>
          <w:sz w:val="22"/>
          <w:szCs w:val="22"/>
        </w:rPr>
        <w:t>EFFECTIVE LIFE OF DEPRECIATING ASSETS</w:t>
      </w:r>
      <w:r w:rsidRPr="00FE2A6F">
        <w:rPr>
          <w:rFonts w:ascii="Garamond" w:hAnsi="Garamond"/>
          <w:b/>
          <w:bCs/>
          <w:color w:val="231F20"/>
        </w:rPr>
        <w:t xml:space="preserve"> </w:t>
      </w:r>
    </w:p>
    <w:p w14:paraId="2D40D194" w14:textId="77777777" w:rsidR="00FE2A6F" w:rsidRDefault="00FE2A6F" w:rsidP="00FE2A6F">
      <w:pPr>
        <w:pStyle w:val="ft01"/>
        <w:shd w:val="clear" w:color="auto" w:fill="FFFFFF"/>
        <w:spacing w:after="0"/>
        <w:rPr>
          <w:rFonts w:ascii="Garamond" w:hAnsi="Garamond"/>
          <w:bCs/>
          <w:color w:val="231F20"/>
        </w:rPr>
      </w:pPr>
      <w:r w:rsidRPr="00FE2A6F">
        <w:rPr>
          <w:rFonts w:ascii="Garamond" w:hAnsi="Garamond"/>
          <w:bCs/>
          <w:color w:val="231F20"/>
        </w:rPr>
        <w:t xml:space="preserve">A new effective life Ruling applying from 1 July 2018 has been issued – TR 2018/4. If you are not a Small Business taxpayer, and the asset is not eligible to be written off in the year of installation, then you will generally depreciate the asset under the Uniform Capital Allowance (UCA) regime over the term of its effective life. In determining the effective life of an asset, you have the choice to either determine it yourself, or you may use the effective life determined by the ATO (contained in this annual Ruling). Remember of course that Small Business Entities (businesses with an annual aggregated turnover of less than $10 </w:t>
      </w:r>
      <w:bookmarkStart w:id="0" w:name="_GoBack"/>
      <w:bookmarkEnd w:id="0"/>
    </w:p>
    <w:p w14:paraId="77C15B83" w14:textId="70FDFBBE" w:rsidR="00FE2A6F" w:rsidRDefault="00FE2A6F" w:rsidP="00FE2A6F">
      <w:pPr>
        <w:pStyle w:val="ft01"/>
        <w:shd w:val="clear" w:color="auto" w:fill="FFFFFF"/>
        <w:spacing w:after="0"/>
        <w:rPr>
          <w:rFonts w:ascii="Garamond" w:hAnsi="Garamond"/>
          <w:bCs/>
          <w:color w:val="231F20"/>
        </w:rPr>
      </w:pPr>
      <w:r w:rsidRPr="00FE2A6F">
        <w:rPr>
          <w:rFonts w:ascii="Garamond" w:hAnsi="Garamond"/>
          <w:bCs/>
          <w:color w:val="231F20"/>
        </w:rPr>
        <w:t>million) still have access to the outright deduction for assets using the $20,000 Instant Asset Write Off.</w:t>
      </w:r>
    </w:p>
    <w:p w14:paraId="7A8F76BF" w14:textId="363DB123" w:rsidR="00FE2A6F" w:rsidRPr="00FE2A6F" w:rsidRDefault="00FE2A6F" w:rsidP="00FE2A6F">
      <w:pPr>
        <w:pStyle w:val="ft01"/>
        <w:shd w:val="clear" w:color="auto" w:fill="FFFFFF"/>
        <w:spacing w:after="0"/>
        <w:rPr>
          <w:rFonts w:ascii="Garamond" w:hAnsi="Garamond"/>
          <w:b/>
          <w:bCs/>
          <w:color w:val="231F20"/>
          <w:sz w:val="22"/>
          <w:szCs w:val="22"/>
        </w:rPr>
      </w:pPr>
      <w:r w:rsidRPr="00FE2A6F">
        <w:rPr>
          <w:rFonts w:ascii="Garamond" w:hAnsi="Garamond"/>
          <w:b/>
          <w:bCs/>
          <w:color w:val="231F20"/>
          <w:sz w:val="22"/>
          <w:szCs w:val="22"/>
        </w:rPr>
        <w:t>OVERNIGHT TRAVEL ALLOWANCES</w:t>
      </w:r>
    </w:p>
    <w:p w14:paraId="6CCB6D67" w14:textId="7BB4D375" w:rsidR="00FE2A6F" w:rsidRPr="00FE2A6F" w:rsidRDefault="00FE2A6F" w:rsidP="00FE2A6F">
      <w:pPr>
        <w:pStyle w:val="ft01"/>
        <w:shd w:val="clear" w:color="auto" w:fill="FFFFFF"/>
        <w:spacing w:after="0"/>
        <w:rPr>
          <w:rFonts w:ascii="Garamond" w:hAnsi="Garamond"/>
          <w:bCs/>
          <w:color w:val="231F20"/>
        </w:rPr>
      </w:pPr>
      <w:r w:rsidRPr="00FE2A6F">
        <w:rPr>
          <w:rFonts w:ascii="Garamond" w:hAnsi="Garamond"/>
          <w:bCs/>
          <w:color w:val="231F20"/>
        </w:rPr>
        <w:t xml:space="preserve">The ATO recently updated its annual Tax Determination – TD 2018/11 – setting out the reasonable travel and overtime meal allowances expense amounts for 2018/2019 for employees who are paid a travel allowance when travelling overnight for work purposes. Where a bona fide travel allowance is paid within the limits set out in this annual ATO Tax Determination for employees who are required to travel overnight for employment purposes, the deductible expenses incurred by employees on meals and accommodation are not required to be substantiated with receipts </w:t>
      </w:r>
      <w:r w:rsidRPr="00FE2A6F">
        <w:rPr>
          <w:rFonts w:ascii="Garamond" w:hAnsi="Garamond"/>
          <w:bCs/>
          <w:color w:val="231F20"/>
        </w:rPr>
        <w:lastRenderedPageBreak/>
        <w:t xml:space="preserve">etc. Furthermore, from an employer perspective, the allowance: </w:t>
      </w:r>
    </w:p>
    <w:p w14:paraId="1D62AE20" w14:textId="77777777" w:rsidR="00BD561E" w:rsidRDefault="00FE2A6F" w:rsidP="008A5D07">
      <w:pPr>
        <w:pStyle w:val="ft01"/>
        <w:shd w:val="clear" w:color="auto" w:fill="FFFFFF"/>
        <w:rPr>
          <w:rFonts w:ascii="Garamond" w:hAnsi="Garamond"/>
          <w:bCs/>
          <w:color w:val="231F20"/>
        </w:rPr>
      </w:pPr>
      <w:r w:rsidRPr="00FE2A6F">
        <w:rPr>
          <w:rFonts w:ascii="Garamond" w:hAnsi="Garamond"/>
          <w:bCs/>
          <w:color w:val="231F20"/>
        </w:rPr>
        <w:t xml:space="preserve">•  Will not attract FBT </w:t>
      </w:r>
    </w:p>
    <w:p w14:paraId="3EDB8414" w14:textId="77777777" w:rsidR="00BD561E" w:rsidRDefault="00FE2A6F" w:rsidP="008A5D07">
      <w:pPr>
        <w:pStyle w:val="ft01"/>
        <w:shd w:val="clear" w:color="auto" w:fill="FFFFFF"/>
        <w:rPr>
          <w:rFonts w:ascii="Garamond" w:hAnsi="Garamond"/>
          <w:bCs/>
          <w:color w:val="231F20"/>
        </w:rPr>
      </w:pPr>
      <w:r w:rsidRPr="00FE2A6F">
        <w:rPr>
          <w:rFonts w:ascii="Garamond" w:hAnsi="Garamond"/>
          <w:bCs/>
          <w:color w:val="231F20"/>
        </w:rPr>
        <w:t xml:space="preserve">•  Is deductible </w:t>
      </w:r>
    </w:p>
    <w:p w14:paraId="0F876B5D" w14:textId="77777777" w:rsidR="00BD561E" w:rsidRDefault="00FE2A6F" w:rsidP="008A5D07">
      <w:pPr>
        <w:pStyle w:val="ft01"/>
        <w:shd w:val="clear" w:color="auto" w:fill="FFFFFF"/>
        <w:rPr>
          <w:rFonts w:ascii="Garamond" w:hAnsi="Garamond"/>
          <w:bCs/>
          <w:color w:val="231F20"/>
        </w:rPr>
      </w:pPr>
      <w:r w:rsidRPr="00FE2A6F">
        <w:rPr>
          <w:rFonts w:ascii="Garamond" w:hAnsi="Garamond"/>
          <w:bCs/>
          <w:color w:val="231F20"/>
        </w:rPr>
        <w:t>•  Will not be shown on an employee’s Payment Summary (excess amounts must be)</w:t>
      </w:r>
    </w:p>
    <w:p w14:paraId="4F6BFFEE" w14:textId="77777777" w:rsidR="00BD561E" w:rsidRDefault="00FE2A6F" w:rsidP="008A5D07">
      <w:pPr>
        <w:pStyle w:val="ft01"/>
        <w:shd w:val="clear" w:color="auto" w:fill="FFFFFF"/>
        <w:rPr>
          <w:rFonts w:ascii="Garamond" w:hAnsi="Garamond"/>
          <w:bCs/>
          <w:color w:val="231F20"/>
        </w:rPr>
      </w:pPr>
      <w:r w:rsidRPr="00FE2A6F">
        <w:rPr>
          <w:rFonts w:ascii="Garamond" w:hAnsi="Garamond"/>
          <w:bCs/>
          <w:color w:val="231F20"/>
        </w:rPr>
        <w:t xml:space="preserve"> •  Will not have tax withheld (excess amounts will) </w:t>
      </w:r>
    </w:p>
    <w:p w14:paraId="7D36D72A" w14:textId="7D461F0E" w:rsidR="008A5D07" w:rsidRDefault="00FE2A6F" w:rsidP="008A5D07">
      <w:pPr>
        <w:pStyle w:val="ft01"/>
        <w:shd w:val="clear" w:color="auto" w:fill="FFFFFF"/>
        <w:rPr>
          <w:rFonts w:ascii="Garamond" w:hAnsi="Garamond"/>
          <w:bCs/>
          <w:color w:val="231F20"/>
        </w:rPr>
      </w:pPr>
      <w:r w:rsidRPr="00FE2A6F">
        <w:rPr>
          <w:rFonts w:ascii="Garamond" w:hAnsi="Garamond"/>
          <w:bCs/>
          <w:color w:val="231F20"/>
        </w:rPr>
        <w:t xml:space="preserve">•  Does not attract superannuation. </w:t>
      </w:r>
    </w:p>
    <w:p w14:paraId="18952AFF" w14:textId="49C54343" w:rsidR="00FE2A6F" w:rsidRPr="00FE2A6F" w:rsidRDefault="00FE2A6F" w:rsidP="00FE2A6F">
      <w:pPr>
        <w:pStyle w:val="ft01"/>
        <w:shd w:val="clear" w:color="auto" w:fill="FFFFFF"/>
        <w:spacing w:after="0"/>
        <w:rPr>
          <w:rFonts w:ascii="Garamond" w:hAnsi="Garamond"/>
          <w:bCs/>
          <w:color w:val="231F20"/>
        </w:rPr>
      </w:pPr>
      <w:r w:rsidRPr="00FE2A6F">
        <w:rPr>
          <w:rFonts w:ascii="Garamond" w:hAnsi="Garamond"/>
          <w:bCs/>
          <w:color w:val="231F20"/>
        </w:rPr>
        <w:t>To enjoy these benefits as well as the substantiation benefit for the employee</w:t>
      </w:r>
      <w:r w:rsidR="008A5D07">
        <w:rPr>
          <w:rFonts w:ascii="Garamond" w:hAnsi="Garamond"/>
          <w:bCs/>
          <w:color w:val="231F20"/>
        </w:rPr>
        <w:t>:</w:t>
      </w:r>
    </w:p>
    <w:p w14:paraId="3EA145F9" w14:textId="262ABBC1" w:rsidR="008A5D07" w:rsidRDefault="00FE2A6F" w:rsidP="00FE2A6F">
      <w:pPr>
        <w:pStyle w:val="ft01"/>
        <w:shd w:val="clear" w:color="auto" w:fill="FFFFFF"/>
        <w:spacing w:before="0" w:beforeAutospacing="0" w:after="0" w:afterAutospacing="0"/>
        <w:rPr>
          <w:rFonts w:ascii="Garamond" w:hAnsi="Garamond"/>
          <w:bCs/>
          <w:color w:val="231F20"/>
        </w:rPr>
      </w:pPr>
      <w:r w:rsidRPr="00FE2A6F">
        <w:rPr>
          <w:rFonts w:ascii="Garamond" w:hAnsi="Garamond"/>
          <w:bCs/>
          <w:color w:val="231F20"/>
        </w:rPr>
        <w:t xml:space="preserve">•  Be aware of the reasonable amount limits set out in the Tax Determination </w:t>
      </w:r>
      <w:r w:rsidR="00F2520A">
        <w:rPr>
          <w:rFonts w:ascii="Garamond" w:hAnsi="Garamond"/>
          <w:bCs/>
          <w:color w:val="231F20"/>
        </w:rPr>
        <w:br/>
      </w:r>
    </w:p>
    <w:p w14:paraId="0F7087D4" w14:textId="77777777" w:rsidR="008A5D07" w:rsidRDefault="00FE2A6F" w:rsidP="00FE2A6F">
      <w:pPr>
        <w:pStyle w:val="ft01"/>
        <w:shd w:val="clear" w:color="auto" w:fill="FFFFFF"/>
        <w:spacing w:before="0" w:beforeAutospacing="0" w:after="0" w:afterAutospacing="0"/>
        <w:rPr>
          <w:rFonts w:ascii="Garamond" w:hAnsi="Garamond"/>
          <w:bCs/>
          <w:color w:val="231F20"/>
        </w:rPr>
      </w:pPr>
      <w:r w:rsidRPr="00FE2A6F">
        <w:rPr>
          <w:rFonts w:ascii="Garamond" w:hAnsi="Garamond"/>
          <w:bCs/>
          <w:color w:val="231F20"/>
        </w:rPr>
        <w:t xml:space="preserve">•  The amount paid must be a bona fide travel allowance which means: </w:t>
      </w:r>
    </w:p>
    <w:p w14:paraId="263D42DC" w14:textId="2DCF9414" w:rsidR="008A5D07" w:rsidRDefault="00FE2A6F" w:rsidP="00FE2A6F">
      <w:pPr>
        <w:pStyle w:val="ft01"/>
        <w:shd w:val="clear" w:color="auto" w:fill="FFFFFF"/>
        <w:spacing w:before="0" w:beforeAutospacing="0" w:after="0" w:afterAutospacing="0"/>
        <w:rPr>
          <w:rFonts w:ascii="Garamond" w:hAnsi="Garamond"/>
          <w:bCs/>
          <w:color w:val="231F20"/>
        </w:rPr>
      </w:pPr>
      <w:r w:rsidRPr="00FE2A6F">
        <w:rPr>
          <w:rFonts w:ascii="Garamond" w:hAnsi="Garamond"/>
          <w:bCs/>
          <w:color w:val="231F20"/>
        </w:rPr>
        <w:t xml:space="preserve"> </w:t>
      </w:r>
    </w:p>
    <w:p w14:paraId="448B3651" w14:textId="5071A36B" w:rsidR="008A5D07" w:rsidRDefault="00FE2A6F" w:rsidP="00FE2A6F">
      <w:pPr>
        <w:pStyle w:val="ft01"/>
        <w:shd w:val="clear" w:color="auto" w:fill="FFFFFF"/>
        <w:spacing w:before="0" w:beforeAutospacing="0" w:after="0" w:afterAutospacing="0"/>
        <w:rPr>
          <w:rFonts w:ascii="Garamond" w:hAnsi="Garamond"/>
          <w:bCs/>
          <w:color w:val="231F20"/>
        </w:rPr>
      </w:pPr>
      <w:r w:rsidRPr="00FE2A6F">
        <w:rPr>
          <w:rFonts w:ascii="Garamond" w:hAnsi="Garamond"/>
          <w:bCs/>
          <w:color w:val="231F20"/>
        </w:rPr>
        <w:t>»</w:t>
      </w:r>
      <w:r w:rsidR="00F2520A">
        <w:rPr>
          <w:rFonts w:ascii="Garamond" w:hAnsi="Garamond"/>
          <w:bCs/>
          <w:color w:val="231F20"/>
        </w:rPr>
        <w:t xml:space="preserve"> </w:t>
      </w:r>
      <w:r w:rsidRPr="00FE2A6F">
        <w:rPr>
          <w:rFonts w:ascii="Garamond" w:hAnsi="Garamond"/>
          <w:bCs/>
          <w:color w:val="231F20"/>
        </w:rPr>
        <w:t xml:space="preserve">It must be calculated per night away rather than a predetermined, fixed lump sum amount  </w:t>
      </w:r>
    </w:p>
    <w:p w14:paraId="01445D21" w14:textId="77777777" w:rsidR="008A5D07" w:rsidRDefault="008A5D07" w:rsidP="00FE2A6F">
      <w:pPr>
        <w:pStyle w:val="ft01"/>
        <w:shd w:val="clear" w:color="auto" w:fill="FFFFFF"/>
        <w:spacing w:before="0" w:beforeAutospacing="0" w:after="0" w:afterAutospacing="0"/>
        <w:rPr>
          <w:rFonts w:ascii="Garamond" w:hAnsi="Garamond"/>
          <w:bCs/>
          <w:color w:val="231F20"/>
        </w:rPr>
      </w:pPr>
    </w:p>
    <w:p w14:paraId="08B98A57" w14:textId="32972493" w:rsidR="008A5D07" w:rsidRDefault="00FE2A6F" w:rsidP="00FE2A6F">
      <w:pPr>
        <w:pStyle w:val="ft01"/>
        <w:shd w:val="clear" w:color="auto" w:fill="FFFFFF"/>
        <w:spacing w:before="0" w:beforeAutospacing="0" w:after="0" w:afterAutospacing="0"/>
        <w:rPr>
          <w:rFonts w:ascii="Garamond" w:hAnsi="Garamond"/>
          <w:bCs/>
          <w:color w:val="231F20"/>
        </w:rPr>
      </w:pPr>
      <w:r w:rsidRPr="00FE2A6F">
        <w:rPr>
          <w:rFonts w:ascii="Garamond" w:hAnsi="Garamond"/>
          <w:bCs/>
          <w:color w:val="231F20"/>
        </w:rPr>
        <w:t>»</w:t>
      </w:r>
      <w:r w:rsidR="00F2520A">
        <w:rPr>
          <w:rFonts w:ascii="Garamond" w:hAnsi="Garamond"/>
          <w:bCs/>
          <w:color w:val="231F20"/>
        </w:rPr>
        <w:t xml:space="preserve"> </w:t>
      </w:r>
      <w:r w:rsidRPr="00FE2A6F">
        <w:rPr>
          <w:rFonts w:ascii="Garamond" w:hAnsi="Garamond"/>
          <w:bCs/>
          <w:color w:val="231F20"/>
        </w:rPr>
        <w:t xml:space="preserve">If less than the reasonable amounts it must not be so negligible as to not realistically cover out-of-pocket expenditure for meals and/or accommodation e.g. $20 per day would not be a bona fide travel allowance </w:t>
      </w:r>
    </w:p>
    <w:p w14:paraId="0E6BECCC" w14:textId="77777777" w:rsidR="008A5D07" w:rsidRDefault="008A5D07" w:rsidP="00FE2A6F">
      <w:pPr>
        <w:pStyle w:val="ft01"/>
        <w:shd w:val="clear" w:color="auto" w:fill="FFFFFF"/>
        <w:spacing w:before="0" w:beforeAutospacing="0" w:after="0" w:afterAutospacing="0"/>
        <w:rPr>
          <w:rFonts w:ascii="Garamond" w:hAnsi="Garamond"/>
          <w:bCs/>
          <w:color w:val="231F20"/>
        </w:rPr>
      </w:pPr>
    </w:p>
    <w:p w14:paraId="71D8FB5E" w14:textId="50FCD45E" w:rsidR="000D1F38" w:rsidRPr="00FE2A6F" w:rsidRDefault="00FE2A6F" w:rsidP="00FE2A6F">
      <w:pPr>
        <w:pStyle w:val="ft01"/>
        <w:shd w:val="clear" w:color="auto" w:fill="FFFFFF"/>
        <w:spacing w:before="0" w:beforeAutospacing="0" w:after="0" w:afterAutospacing="0"/>
        <w:rPr>
          <w:rFonts w:ascii="Garamond" w:hAnsi="Garamond"/>
          <w:sz w:val="28"/>
          <w:szCs w:val="28"/>
        </w:rPr>
      </w:pPr>
      <w:r w:rsidRPr="00FE2A6F">
        <w:rPr>
          <w:rFonts w:ascii="Garamond" w:hAnsi="Garamond"/>
          <w:bCs/>
          <w:color w:val="231F20"/>
        </w:rPr>
        <w:t>•  It must be separately identifiable in the payroll system as a separate allowance – not just folded into the employee’s salary.</w:t>
      </w:r>
    </w:p>
    <w:p w14:paraId="391D7A8A" w14:textId="48AE821D" w:rsidR="00BD561E" w:rsidRPr="00BD561E" w:rsidRDefault="00003893" w:rsidP="000D1F38">
      <w:pPr>
        <w:jc w:val="left"/>
        <w:rPr>
          <w:rFonts w:ascii="Garamond" w:hAnsi="Garamond"/>
          <w:b/>
        </w:rPr>
      </w:pPr>
      <w:r>
        <w:rPr>
          <w:rFonts w:ascii="Garamond" w:hAnsi="Garamond"/>
          <w:sz w:val="32"/>
          <w:szCs w:val="32"/>
        </w:rPr>
        <w:br/>
      </w:r>
      <w:r w:rsidR="00BD561E" w:rsidRPr="00BD561E">
        <w:rPr>
          <w:rFonts w:ascii="Garamond" w:hAnsi="Garamond"/>
          <w:b/>
        </w:rPr>
        <w:t>WORK FROM HOME FOCUS</w:t>
      </w:r>
    </w:p>
    <w:p w14:paraId="7AE1000F" w14:textId="3133F5C1" w:rsidR="00BD561E" w:rsidRDefault="00BD561E" w:rsidP="000D1F38">
      <w:pPr>
        <w:jc w:val="left"/>
        <w:rPr>
          <w:rFonts w:ascii="Garamond" w:hAnsi="Garamond"/>
          <w:sz w:val="24"/>
          <w:szCs w:val="24"/>
        </w:rPr>
      </w:pPr>
      <w:r w:rsidRPr="00BD561E">
        <w:rPr>
          <w:rFonts w:ascii="Garamond" w:hAnsi="Garamond"/>
          <w:sz w:val="24"/>
          <w:szCs w:val="24"/>
        </w:rPr>
        <w:t xml:space="preserve">The ATO is set to focus on the claiming of work from home expenses, this tax lodgement season. </w:t>
      </w:r>
    </w:p>
    <w:p w14:paraId="3167BE69" w14:textId="74009F0E" w:rsidR="00D8716F" w:rsidRDefault="00D8716F" w:rsidP="000D1F38">
      <w:pPr>
        <w:jc w:val="left"/>
        <w:rPr>
          <w:rFonts w:ascii="Garamond" w:hAnsi="Garamond"/>
          <w:sz w:val="24"/>
          <w:szCs w:val="24"/>
        </w:rPr>
      </w:pPr>
    </w:p>
    <w:p w14:paraId="56E2BEEA" w14:textId="41AEE4EF" w:rsidR="00D8716F" w:rsidRDefault="00D8716F" w:rsidP="000D1F38">
      <w:pPr>
        <w:jc w:val="left"/>
        <w:rPr>
          <w:rFonts w:ascii="Garamond" w:hAnsi="Garamond"/>
          <w:sz w:val="24"/>
          <w:szCs w:val="24"/>
        </w:rPr>
      </w:pPr>
    </w:p>
    <w:p w14:paraId="6D917C6A" w14:textId="77777777" w:rsidR="00823EB1" w:rsidRDefault="00823EB1" w:rsidP="000D1F38">
      <w:pPr>
        <w:jc w:val="left"/>
        <w:rPr>
          <w:rFonts w:ascii="Garamond" w:hAnsi="Garamond"/>
          <w:sz w:val="24"/>
          <w:szCs w:val="24"/>
        </w:rPr>
      </w:pPr>
    </w:p>
    <w:p w14:paraId="49E98478" w14:textId="6321249D" w:rsidR="00BD561E" w:rsidRDefault="00BD561E" w:rsidP="000D1F38">
      <w:pPr>
        <w:jc w:val="left"/>
        <w:rPr>
          <w:rFonts w:ascii="Garamond" w:hAnsi="Garamond"/>
          <w:sz w:val="24"/>
          <w:szCs w:val="24"/>
        </w:rPr>
      </w:pPr>
      <w:r w:rsidRPr="00BD561E">
        <w:rPr>
          <w:rFonts w:ascii="Garamond" w:hAnsi="Garamond"/>
          <w:sz w:val="24"/>
          <w:szCs w:val="24"/>
        </w:rPr>
        <w:t>A record $7.9 billion in ‘other work-related expenses</w:t>
      </w:r>
      <w:r>
        <w:rPr>
          <w:rFonts w:ascii="Garamond" w:hAnsi="Garamond"/>
          <w:sz w:val="24"/>
          <w:szCs w:val="24"/>
        </w:rPr>
        <w:t>’</w:t>
      </w:r>
      <w:r w:rsidRPr="00BD561E">
        <w:rPr>
          <w:rFonts w:ascii="Garamond" w:hAnsi="Garamond"/>
          <w:sz w:val="24"/>
          <w:szCs w:val="24"/>
        </w:rPr>
        <w:t xml:space="preserve"> deductions was claimed in 2016/2017 by more than 6.7 million taxpayers, with the ATO detecting a sharp rise in expenses relating to working from home. Says ATO assistant Commissioner, Kath Anderson:</w:t>
      </w:r>
    </w:p>
    <w:p w14:paraId="4A311A4B" w14:textId="77777777" w:rsidR="0060525D" w:rsidRDefault="00BD561E" w:rsidP="000D1F38">
      <w:pPr>
        <w:jc w:val="left"/>
        <w:rPr>
          <w:rFonts w:ascii="Garamond" w:hAnsi="Garamond"/>
          <w:i/>
          <w:sz w:val="24"/>
          <w:szCs w:val="24"/>
        </w:rPr>
      </w:pPr>
      <w:r w:rsidRPr="00BD561E">
        <w:rPr>
          <w:rFonts w:ascii="Garamond" w:hAnsi="Garamond"/>
          <w:sz w:val="24"/>
          <w:szCs w:val="24"/>
        </w:rPr>
        <w:t>“</w:t>
      </w:r>
      <w:r w:rsidRPr="00BD561E">
        <w:rPr>
          <w:rFonts w:ascii="Garamond" w:hAnsi="Garamond"/>
          <w:i/>
          <w:sz w:val="24"/>
          <w:szCs w:val="24"/>
        </w:rPr>
        <w:t>There is a rising trend of employees working from home, and while extra costs related to working from home are usually deductible, we are seeing some taxpayers either over-claiming or claiming private costs,” Ms. Anderson said.</w:t>
      </w:r>
    </w:p>
    <w:p w14:paraId="66AA13CD" w14:textId="77777777" w:rsidR="00003893" w:rsidRDefault="00BD561E" w:rsidP="000D1F38">
      <w:pPr>
        <w:jc w:val="left"/>
        <w:rPr>
          <w:rFonts w:ascii="Garamond" w:hAnsi="Garamond"/>
          <w:i/>
          <w:sz w:val="24"/>
          <w:szCs w:val="24"/>
        </w:rPr>
      </w:pPr>
      <w:r w:rsidRPr="00BD561E">
        <w:rPr>
          <w:rFonts w:ascii="Garamond" w:hAnsi="Garamond"/>
          <w:i/>
          <w:sz w:val="24"/>
          <w:szCs w:val="24"/>
        </w:rPr>
        <w:t xml:space="preserve">There is mounting evidence that many taxpayers don’t know what they can and cannot claim. </w:t>
      </w:r>
      <w:proofErr w:type="gramStart"/>
      <w:r w:rsidRPr="00BD561E">
        <w:rPr>
          <w:rFonts w:ascii="Garamond" w:hAnsi="Garamond"/>
          <w:i/>
          <w:sz w:val="24"/>
          <w:szCs w:val="24"/>
        </w:rPr>
        <w:t>In particular, we</w:t>
      </w:r>
      <w:proofErr w:type="gramEnd"/>
      <w:r w:rsidRPr="00BD561E">
        <w:rPr>
          <w:rFonts w:ascii="Garamond" w:hAnsi="Garamond"/>
          <w:i/>
          <w:sz w:val="24"/>
          <w:szCs w:val="24"/>
        </w:rPr>
        <w:t xml:space="preserve"> are seeing some taxpayers claiming expenses they never paid for, expenses their employer reimbursed, private expenses and expenses with no supporting records.</w:t>
      </w:r>
    </w:p>
    <w:p w14:paraId="4C8FE80F" w14:textId="77777777" w:rsidR="00003893" w:rsidRDefault="00BD561E" w:rsidP="000D1F38">
      <w:pPr>
        <w:jc w:val="left"/>
        <w:rPr>
          <w:rFonts w:ascii="Garamond" w:hAnsi="Garamond"/>
          <w:i/>
          <w:sz w:val="24"/>
          <w:szCs w:val="24"/>
        </w:rPr>
      </w:pPr>
      <w:r w:rsidRPr="00BD561E">
        <w:rPr>
          <w:rFonts w:ascii="Garamond" w:hAnsi="Garamond"/>
          <w:i/>
          <w:sz w:val="24"/>
          <w:szCs w:val="24"/>
        </w:rPr>
        <w:t xml:space="preserve">One of the biggest issues we are seeing is people claiming the entire amount of expenses like their internet or mobile phone, not just the extra bit related to work. </w:t>
      </w:r>
      <w:proofErr w:type="gramStart"/>
      <w:r w:rsidRPr="00BD561E">
        <w:rPr>
          <w:rFonts w:ascii="Garamond" w:hAnsi="Garamond"/>
          <w:i/>
          <w:sz w:val="24"/>
          <w:szCs w:val="24"/>
        </w:rPr>
        <w:t>In reality, the</w:t>
      </w:r>
      <w:proofErr w:type="gramEnd"/>
      <w:r w:rsidRPr="00BD561E">
        <w:rPr>
          <w:rFonts w:ascii="Garamond" w:hAnsi="Garamond"/>
          <w:i/>
          <w:sz w:val="24"/>
          <w:szCs w:val="24"/>
        </w:rPr>
        <w:t xml:space="preserve"> rest of us are subsidising their private phone calls and internet usage, which is not okay,” said Ms Anderson.</w:t>
      </w:r>
    </w:p>
    <w:p w14:paraId="208F258F" w14:textId="77777777" w:rsidR="00003893" w:rsidRDefault="00BD561E" w:rsidP="000D1F38">
      <w:pPr>
        <w:jc w:val="left"/>
        <w:rPr>
          <w:rFonts w:ascii="Garamond" w:hAnsi="Garamond"/>
          <w:i/>
          <w:sz w:val="24"/>
          <w:szCs w:val="24"/>
        </w:rPr>
      </w:pPr>
      <w:r w:rsidRPr="00BD561E">
        <w:rPr>
          <w:rFonts w:ascii="Garamond" w:hAnsi="Garamond"/>
          <w:i/>
          <w:sz w:val="24"/>
          <w:szCs w:val="24"/>
        </w:rPr>
        <w:t>“If working from home means sitting in front of the TV or at the kitchen bench doing some emails, it’s unlikely that you are incurring any additional expenses. However, if you have a separate work area, then you can claim the work-related portion of running expenses for that space.</w:t>
      </w:r>
    </w:p>
    <w:p w14:paraId="610CF20B" w14:textId="77777777" w:rsidR="00003893" w:rsidRDefault="00BD561E" w:rsidP="000D1F38">
      <w:pPr>
        <w:jc w:val="left"/>
        <w:rPr>
          <w:rFonts w:ascii="Garamond" w:hAnsi="Garamond"/>
          <w:sz w:val="24"/>
          <w:szCs w:val="24"/>
        </w:rPr>
      </w:pPr>
      <w:r w:rsidRPr="00BD561E">
        <w:rPr>
          <w:rFonts w:ascii="Garamond" w:hAnsi="Garamond"/>
          <w:i/>
          <w:sz w:val="24"/>
          <w:szCs w:val="24"/>
        </w:rPr>
        <w:t>“Employees cannot generally claim occupancy-related expenses like rent, mortgage repayments, property insurance, land taxes and rates”.</w:t>
      </w:r>
      <w:r w:rsidRPr="00BD561E">
        <w:rPr>
          <w:rFonts w:ascii="Garamond" w:hAnsi="Garamond"/>
          <w:sz w:val="24"/>
          <w:szCs w:val="24"/>
        </w:rPr>
        <w:t xml:space="preserve"> </w:t>
      </w:r>
    </w:p>
    <w:p w14:paraId="55660987" w14:textId="77777777" w:rsidR="00F2520A" w:rsidRDefault="00F2520A" w:rsidP="000D1F38">
      <w:pPr>
        <w:jc w:val="left"/>
        <w:rPr>
          <w:rFonts w:ascii="Garamond" w:hAnsi="Garamond"/>
          <w:sz w:val="24"/>
          <w:szCs w:val="24"/>
        </w:rPr>
      </w:pPr>
    </w:p>
    <w:p w14:paraId="77FE43FF" w14:textId="77777777" w:rsidR="00F2520A" w:rsidRDefault="00F2520A" w:rsidP="000D1F38">
      <w:pPr>
        <w:jc w:val="left"/>
        <w:rPr>
          <w:rFonts w:ascii="Garamond" w:hAnsi="Garamond"/>
          <w:sz w:val="24"/>
          <w:szCs w:val="24"/>
        </w:rPr>
      </w:pPr>
    </w:p>
    <w:p w14:paraId="7E1F6E4D" w14:textId="77777777" w:rsidR="00F2520A" w:rsidRDefault="00F2520A" w:rsidP="000D1F38">
      <w:pPr>
        <w:jc w:val="left"/>
        <w:rPr>
          <w:rFonts w:ascii="Garamond" w:hAnsi="Garamond"/>
          <w:sz w:val="24"/>
          <w:szCs w:val="24"/>
        </w:rPr>
      </w:pPr>
    </w:p>
    <w:p w14:paraId="65E3FE81" w14:textId="77777777" w:rsidR="00F2520A" w:rsidRDefault="00F2520A" w:rsidP="000D1F38">
      <w:pPr>
        <w:jc w:val="left"/>
        <w:rPr>
          <w:rFonts w:ascii="Garamond" w:hAnsi="Garamond"/>
          <w:sz w:val="24"/>
          <w:szCs w:val="24"/>
        </w:rPr>
      </w:pPr>
    </w:p>
    <w:p w14:paraId="146DE9F3" w14:textId="77777777" w:rsidR="00F2520A" w:rsidRDefault="00F2520A" w:rsidP="000D1F38">
      <w:pPr>
        <w:jc w:val="left"/>
        <w:rPr>
          <w:rFonts w:ascii="Garamond" w:hAnsi="Garamond"/>
          <w:sz w:val="24"/>
          <w:szCs w:val="24"/>
        </w:rPr>
      </w:pPr>
    </w:p>
    <w:p w14:paraId="4D8BED2E" w14:textId="77777777" w:rsidR="00F2520A" w:rsidRDefault="00F2520A" w:rsidP="000D1F38">
      <w:pPr>
        <w:jc w:val="left"/>
        <w:rPr>
          <w:rFonts w:ascii="Garamond" w:hAnsi="Garamond"/>
          <w:sz w:val="24"/>
          <w:szCs w:val="24"/>
        </w:rPr>
      </w:pPr>
    </w:p>
    <w:p w14:paraId="6743E186" w14:textId="77777777" w:rsidR="002C1658" w:rsidRDefault="002C1658" w:rsidP="000D1F38">
      <w:pPr>
        <w:jc w:val="left"/>
        <w:rPr>
          <w:rFonts w:ascii="Garamond" w:hAnsi="Garamond"/>
          <w:sz w:val="24"/>
          <w:szCs w:val="24"/>
        </w:rPr>
        <w:sectPr w:rsidR="002C1658" w:rsidSect="003B3C9D">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num="2" w:space="720"/>
          <w:docGrid w:linePitch="360"/>
        </w:sectPr>
      </w:pPr>
    </w:p>
    <w:p w14:paraId="2CECB1CD" w14:textId="7ED3DF63" w:rsidR="00BD561E" w:rsidRDefault="00BD561E" w:rsidP="000D1F38">
      <w:pPr>
        <w:jc w:val="left"/>
        <w:rPr>
          <w:rFonts w:ascii="Garamond" w:hAnsi="Garamond"/>
          <w:sz w:val="24"/>
          <w:szCs w:val="24"/>
        </w:rPr>
      </w:pPr>
      <w:r w:rsidRPr="00BD561E">
        <w:rPr>
          <w:rFonts w:ascii="Garamond" w:hAnsi="Garamond"/>
          <w:sz w:val="24"/>
          <w:szCs w:val="24"/>
        </w:rPr>
        <w:lastRenderedPageBreak/>
        <w:t xml:space="preserve">In the following table, generally only Columns 2 or 3 will apply to employees </w:t>
      </w:r>
      <w:r w:rsidR="002C1658">
        <w:rPr>
          <w:rFonts w:ascii="Garamond" w:hAnsi="Garamond"/>
          <w:sz w:val="24"/>
          <w:szCs w:val="24"/>
        </w:rPr>
        <w:br/>
      </w:r>
      <w:r w:rsidRPr="00BD561E">
        <w:rPr>
          <w:rFonts w:ascii="Garamond" w:hAnsi="Garamond"/>
          <w:sz w:val="24"/>
          <w:szCs w:val="24"/>
        </w:rPr>
        <w:t>(Column 1 will generally only apply to those who operate a business from home):</w:t>
      </w:r>
    </w:p>
    <w:p w14:paraId="6A46D9D0" w14:textId="77777777" w:rsidR="002C1658" w:rsidRDefault="002C1658" w:rsidP="000D1F38">
      <w:pPr>
        <w:jc w:val="left"/>
        <w:rPr>
          <w:rFonts w:ascii="Garamond" w:hAnsi="Garamond"/>
          <w:sz w:val="24"/>
          <w:szCs w:val="24"/>
        </w:rPr>
        <w:sectPr w:rsidR="002C1658" w:rsidSect="002C1658">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space="720"/>
          <w:docGrid w:linePitch="360"/>
        </w:sectPr>
      </w:pPr>
    </w:p>
    <w:p w14:paraId="673F9B85" w14:textId="322FAE84" w:rsidR="009F0E55" w:rsidRDefault="009F0E55" w:rsidP="000D1F38">
      <w:pPr>
        <w:jc w:val="left"/>
        <w:rPr>
          <w:rFonts w:ascii="Garamond" w:hAnsi="Garamond"/>
          <w:sz w:val="24"/>
          <w:szCs w:val="24"/>
        </w:rPr>
      </w:pPr>
    </w:p>
    <w:p w14:paraId="66C84F37" w14:textId="03BDC969" w:rsidR="009F0E55" w:rsidRPr="009F0E55" w:rsidRDefault="009F0E55" w:rsidP="009F0E55">
      <w:pPr>
        <w:jc w:val="center"/>
        <w:rPr>
          <w:rFonts w:ascii="Garamond" w:hAnsi="Garamond"/>
          <w:b/>
          <w:sz w:val="24"/>
          <w:szCs w:val="24"/>
        </w:rPr>
      </w:pPr>
      <w:r w:rsidRPr="009F0E55">
        <w:rPr>
          <w:b/>
          <w:noProof/>
        </w:rPr>
        <w:drawing>
          <wp:anchor distT="0" distB="0" distL="114300" distR="114300" simplePos="0" relativeHeight="251658240" behindDoc="0" locked="0" layoutInCell="1" allowOverlap="1" wp14:anchorId="4678BFDA" wp14:editId="1218E335">
            <wp:simplePos x="0" y="0"/>
            <wp:positionH relativeFrom="column">
              <wp:posOffset>267335</wp:posOffset>
            </wp:positionH>
            <wp:positionV relativeFrom="paragraph">
              <wp:posOffset>275590</wp:posOffset>
            </wp:positionV>
            <wp:extent cx="5166360" cy="4554220"/>
            <wp:effectExtent l="0" t="0" r="0" b="0"/>
            <wp:wrapThrough wrapText="bothSides">
              <wp:wrapPolygon edited="0">
                <wp:start x="0" y="0"/>
                <wp:lineTo x="0" y="21504"/>
                <wp:lineTo x="21504" y="21504"/>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66360" cy="4554220"/>
                    </a:xfrm>
                    <a:prstGeom prst="rect">
                      <a:avLst/>
                    </a:prstGeom>
                  </pic:spPr>
                </pic:pic>
              </a:graphicData>
            </a:graphic>
            <wp14:sizeRelH relativeFrom="margin">
              <wp14:pctWidth>0</wp14:pctWidth>
            </wp14:sizeRelH>
            <wp14:sizeRelV relativeFrom="margin">
              <wp14:pctHeight>0</wp14:pctHeight>
            </wp14:sizeRelV>
          </wp:anchor>
        </w:drawing>
      </w:r>
      <w:r w:rsidRPr="009F0E55">
        <w:rPr>
          <w:rFonts w:ascii="Garamond" w:hAnsi="Garamond"/>
          <w:b/>
          <w:sz w:val="24"/>
          <w:szCs w:val="24"/>
        </w:rPr>
        <w:t>HOW YOU OPERATE FROM HOME</w:t>
      </w:r>
    </w:p>
    <w:p w14:paraId="105163DB" w14:textId="77777777" w:rsidR="009F0E55" w:rsidRDefault="009F0E55" w:rsidP="000D1F38">
      <w:pPr>
        <w:jc w:val="left"/>
        <w:rPr>
          <w:rFonts w:ascii="Garamond" w:hAnsi="Garamond"/>
          <w:sz w:val="24"/>
          <w:szCs w:val="24"/>
        </w:rPr>
        <w:sectPr w:rsidR="009F0E55" w:rsidSect="009F0E55">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space="720"/>
          <w:docGrid w:linePitch="360"/>
        </w:sectPr>
      </w:pPr>
    </w:p>
    <w:p w14:paraId="631330D2" w14:textId="4C918A51" w:rsidR="009F0E55" w:rsidRDefault="002C1658" w:rsidP="009F0E55">
      <w:pPr>
        <w:jc w:val="left"/>
        <w:rPr>
          <w:rFonts w:ascii="Garamond" w:hAnsi="Garamond"/>
        </w:rPr>
      </w:pPr>
      <w:r>
        <w:rPr>
          <w:rFonts w:ascii="Garamond" w:hAnsi="Garamond"/>
        </w:rPr>
        <w:br/>
      </w:r>
      <w:r w:rsidR="009F0E55" w:rsidRPr="009F0E55">
        <w:rPr>
          <w:rFonts w:ascii="Garamond" w:hAnsi="Garamond"/>
        </w:rPr>
        <w:t xml:space="preserve">To substantiate your home-office claim, you are required to keep a diary covering a </w:t>
      </w:r>
      <w:r w:rsidR="009F0E55">
        <w:rPr>
          <w:rFonts w:ascii="Garamond" w:hAnsi="Garamond"/>
        </w:rPr>
        <w:t>r</w:t>
      </w:r>
      <w:r w:rsidR="009F0E55" w:rsidRPr="009F0E55">
        <w:rPr>
          <w:rFonts w:ascii="Garamond" w:hAnsi="Garamond"/>
        </w:rPr>
        <w:t>epresentative four-week period as establishing a pattern of use for the entire year. You can then use this pattern of home office use to calculate the home office running expenses claim for the entire year, allowing for periods when the home office is not used for income production (such as holidays, illnesses) and also allowing for concurrent use by other family members. A new diary must be kept for each financial year, as patterns of use are likely to fluctuate over two or more years.</w:t>
      </w:r>
    </w:p>
    <w:p w14:paraId="01A3AA71" w14:textId="77777777" w:rsidR="00327A53" w:rsidRPr="00327A53" w:rsidRDefault="009F0E55" w:rsidP="009F0E55">
      <w:pPr>
        <w:jc w:val="left"/>
        <w:rPr>
          <w:rFonts w:ascii="Garamond" w:hAnsi="Garamond"/>
          <w:b/>
        </w:rPr>
      </w:pPr>
      <w:r w:rsidRPr="00327A53">
        <w:rPr>
          <w:rFonts w:ascii="Garamond" w:hAnsi="Garamond"/>
          <w:b/>
        </w:rPr>
        <w:t>“DODGY” DEDUCTIONS</w:t>
      </w:r>
    </w:p>
    <w:p w14:paraId="3C74E5FD" w14:textId="2DEC1BE1" w:rsidR="00327A53" w:rsidRDefault="009F0E55" w:rsidP="009F0E55">
      <w:pPr>
        <w:jc w:val="left"/>
        <w:rPr>
          <w:rFonts w:ascii="Garamond" w:hAnsi="Garamond"/>
        </w:rPr>
      </w:pPr>
      <w:r w:rsidRPr="009F0E55">
        <w:rPr>
          <w:rFonts w:ascii="Garamond" w:hAnsi="Garamond"/>
        </w:rPr>
        <w:t xml:space="preserve">More than 8 million Australians claim work-related expenses each year. The ATO is </w:t>
      </w:r>
      <w:r w:rsidR="002C1658">
        <w:rPr>
          <w:rFonts w:ascii="Garamond" w:hAnsi="Garamond"/>
        </w:rPr>
        <w:br/>
      </w:r>
      <w:r w:rsidR="002C1658">
        <w:rPr>
          <w:rFonts w:ascii="Garamond" w:hAnsi="Garamond"/>
        </w:rPr>
        <w:br/>
      </w:r>
      <w:r w:rsidRPr="009F0E55">
        <w:rPr>
          <w:rFonts w:ascii="Garamond" w:hAnsi="Garamond"/>
        </w:rPr>
        <w:t>reminding taxpayers to ensure they get things right when lodging 2017/2018 returns over the coming months. In 2016/2017 alone, the ATO</w:t>
      </w:r>
      <w:r w:rsidR="00CA1FF3">
        <w:rPr>
          <w:rFonts w:ascii="Garamond" w:hAnsi="Garamond"/>
        </w:rPr>
        <w:t xml:space="preserve"> </w:t>
      </w:r>
      <w:r w:rsidRPr="009F0E55">
        <w:rPr>
          <w:rFonts w:ascii="Garamond" w:hAnsi="Garamond"/>
        </w:rPr>
        <w:t>conducted over 500,000 reviews and audits of individual taxpayers, resulting in revenue adjustments of more than $1 billion. The ATO says:</w:t>
      </w:r>
      <w:r w:rsidR="00327A53">
        <w:rPr>
          <w:rFonts w:ascii="Garamond" w:hAnsi="Garamond"/>
        </w:rPr>
        <w:t xml:space="preserve"> </w:t>
      </w:r>
    </w:p>
    <w:p w14:paraId="6A083F62" w14:textId="25D83640" w:rsidR="009F0E55" w:rsidRDefault="009F0E55" w:rsidP="009F0E55">
      <w:pPr>
        <w:jc w:val="left"/>
        <w:rPr>
          <w:rFonts w:ascii="Garamond" w:hAnsi="Garamond"/>
          <w:i/>
        </w:rPr>
      </w:pPr>
      <w:r w:rsidRPr="00327A53">
        <w:rPr>
          <w:rFonts w:ascii="Garamond" w:hAnsi="Garamond"/>
          <w:i/>
        </w:rPr>
        <w:t>Every tax return is scrutinised using increasingly sophisticated tools and data analytics. Consequently, we can identify and review income tax returns that may omit information or contain unreasonable deductions. When a ‘red flag’ is raised, our staff will investigate. If your claims seem unusual, we will check them with your employer</w:t>
      </w:r>
      <w:r w:rsidR="00327A53" w:rsidRPr="00327A53">
        <w:rPr>
          <w:rFonts w:ascii="Garamond" w:hAnsi="Garamond"/>
          <w:i/>
        </w:rPr>
        <w:t>.</w:t>
      </w:r>
    </w:p>
    <w:p w14:paraId="72A60366" w14:textId="65DD4B33" w:rsidR="00327A53" w:rsidRDefault="00327A53" w:rsidP="009F0E55">
      <w:pPr>
        <w:jc w:val="left"/>
        <w:rPr>
          <w:rFonts w:ascii="Garamond" w:hAnsi="Garamond"/>
          <w:i/>
        </w:rPr>
      </w:pPr>
    </w:p>
    <w:p w14:paraId="429EA120" w14:textId="77777777" w:rsidR="00327A53" w:rsidRDefault="00327A53" w:rsidP="009F0E55">
      <w:pPr>
        <w:jc w:val="left"/>
        <w:rPr>
          <w:rFonts w:ascii="Garamond" w:hAnsi="Garamond"/>
        </w:rPr>
        <w:sectPr w:rsidR="00327A53" w:rsidSect="009F0E55">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num="2" w:space="709"/>
          <w:docGrid w:linePitch="360"/>
        </w:sectPr>
      </w:pPr>
    </w:p>
    <w:p w14:paraId="7E8F5F48" w14:textId="509D7C8B" w:rsidR="00327A53" w:rsidRPr="00327A53" w:rsidRDefault="00327A53" w:rsidP="00327A53">
      <w:pPr>
        <w:shd w:val="clear" w:color="auto" w:fill="FFFFFF"/>
        <w:spacing w:after="0" w:line="240" w:lineRule="auto"/>
        <w:jc w:val="left"/>
        <w:rPr>
          <w:rFonts w:ascii="Garamond" w:eastAsia="Times New Roman" w:hAnsi="Garamond" w:cs="Times New Roman"/>
          <w:color w:val="231F20"/>
          <w:sz w:val="20"/>
          <w:szCs w:val="20"/>
          <w:lang w:eastAsia="en-AU"/>
        </w:rPr>
      </w:pPr>
      <w:r w:rsidRPr="00327A53">
        <w:rPr>
          <w:rFonts w:ascii="Garamond" w:hAnsi="Garamond"/>
          <w:noProof/>
          <w:sz w:val="20"/>
          <w:szCs w:val="20"/>
        </w:rPr>
        <w:lastRenderedPageBreak/>
        <w:drawing>
          <wp:anchor distT="0" distB="0" distL="114300" distR="114300" simplePos="0" relativeHeight="251659264" behindDoc="0" locked="0" layoutInCell="1" allowOverlap="1" wp14:anchorId="59ABC448" wp14:editId="34ABC61B">
            <wp:simplePos x="0" y="0"/>
            <wp:positionH relativeFrom="column">
              <wp:posOffset>-311150</wp:posOffset>
            </wp:positionH>
            <wp:positionV relativeFrom="paragraph">
              <wp:posOffset>51435</wp:posOffset>
            </wp:positionV>
            <wp:extent cx="1181100" cy="1095375"/>
            <wp:effectExtent l="0" t="0" r="0" b="9525"/>
            <wp:wrapThrough wrapText="bothSides">
              <wp:wrapPolygon edited="0">
                <wp:start x="0" y="0"/>
                <wp:lineTo x="0" y="21412"/>
                <wp:lineTo x="21252" y="21412"/>
                <wp:lineTo x="212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81100" cy="1095375"/>
                    </a:xfrm>
                    <a:prstGeom prst="rect">
                      <a:avLst/>
                    </a:prstGeom>
                  </pic:spPr>
                </pic:pic>
              </a:graphicData>
            </a:graphic>
            <wp14:sizeRelV relativeFrom="margin">
              <wp14:pctHeight>0</wp14:pctHeight>
            </wp14:sizeRelV>
          </wp:anchor>
        </w:drawing>
      </w:r>
      <w:r w:rsidRPr="00327A53">
        <w:rPr>
          <w:rFonts w:ascii="Garamond" w:eastAsia="Times New Roman" w:hAnsi="Garamond" w:cs="Times New Roman"/>
          <w:b/>
          <w:bCs/>
          <w:color w:val="231F20"/>
          <w:sz w:val="20"/>
          <w:szCs w:val="20"/>
          <w:lang w:eastAsia="en-AU"/>
        </w:rPr>
        <w:t>CASE STUDY 1 </w:t>
      </w:r>
    </w:p>
    <w:p w14:paraId="5D47596C" w14:textId="4E320C3E" w:rsidR="00327A53" w:rsidRPr="00327A53" w:rsidRDefault="00327A53" w:rsidP="00327A53">
      <w:pPr>
        <w:shd w:val="clear" w:color="auto" w:fill="FFFFFF"/>
        <w:spacing w:after="0" w:line="240" w:lineRule="auto"/>
        <w:jc w:val="left"/>
        <w:rPr>
          <w:rFonts w:ascii="Garamond" w:eastAsia="Times New Roman" w:hAnsi="Garamond" w:cs="Times New Roman"/>
          <w:color w:val="82CC2E"/>
          <w:sz w:val="20"/>
          <w:szCs w:val="20"/>
          <w:lang w:eastAsia="en-AU"/>
        </w:rPr>
      </w:pPr>
      <w:r w:rsidRPr="00327A53">
        <w:rPr>
          <w:rFonts w:ascii="Garamond" w:eastAsia="Times New Roman" w:hAnsi="Garamond" w:cs="Times New Roman"/>
          <w:b/>
          <w:bCs/>
          <w:color w:val="82CC2E"/>
          <w:sz w:val="20"/>
          <w:szCs w:val="20"/>
          <w:lang w:eastAsia="en-AU"/>
        </w:rPr>
        <w:t>CAR EXPENSES</w:t>
      </w:r>
    </w:p>
    <w:p w14:paraId="1F7D461A" w14:textId="3CDBBEF8" w:rsidR="00327A53" w:rsidRP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color w:val="231F20"/>
          <w:lang w:eastAsia="en-AU"/>
        </w:rPr>
        <w:t>A railway guard claimed $3,700 in work-related car expenses for travel between his home and workplace. He indicated that this expense related to carrying bulky tools – including large instruction manuals and safety equipment. The employer advised the equipment could be securely stored on their premises. The taxpayer’s car expense claims were therefore disallowed because the equipment could be stored at work and carrying them was his personal choice, not a requirement of his employer</w:t>
      </w:r>
      <w:r>
        <w:rPr>
          <w:rFonts w:ascii="Garamond" w:eastAsia="Times New Roman" w:hAnsi="Garamond" w:cs="Times New Roman"/>
          <w:color w:val="231F20"/>
          <w:lang w:eastAsia="en-AU"/>
        </w:rPr>
        <w:t>.</w:t>
      </w:r>
    </w:p>
    <w:p w14:paraId="2B2DD97C" w14:textId="5A93BAAE" w:rsidR="00327A53" w:rsidRDefault="00CA1FF3" w:rsidP="009F0E55">
      <w:pPr>
        <w:jc w:val="left"/>
        <w:rPr>
          <w:rFonts w:ascii="Garamond" w:hAnsi="Garamond"/>
        </w:rPr>
      </w:pPr>
      <w:r>
        <w:rPr>
          <w:noProof/>
        </w:rPr>
        <w:drawing>
          <wp:anchor distT="0" distB="0" distL="114300" distR="114300" simplePos="0" relativeHeight="251660288" behindDoc="0" locked="0" layoutInCell="1" allowOverlap="1" wp14:anchorId="18AB9F03" wp14:editId="61D8589B">
            <wp:simplePos x="0" y="0"/>
            <wp:positionH relativeFrom="column">
              <wp:posOffset>-120015</wp:posOffset>
            </wp:positionH>
            <wp:positionV relativeFrom="paragraph">
              <wp:posOffset>350004</wp:posOffset>
            </wp:positionV>
            <wp:extent cx="990600" cy="1163955"/>
            <wp:effectExtent l="0" t="0" r="0" b="0"/>
            <wp:wrapThrough wrapText="bothSides">
              <wp:wrapPolygon edited="0">
                <wp:start x="0" y="0"/>
                <wp:lineTo x="0" y="21211"/>
                <wp:lineTo x="21185" y="21211"/>
                <wp:lineTo x="2118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90600" cy="1163955"/>
                    </a:xfrm>
                    <a:prstGeom prst="rect">
                      <a:avLst/>
                    </a:prstGeom>
                  </pic:spPr>
                </pic:pic>
              </a:graphicData>
            </a:graphic>
            <wp14:sizeRelH relativeFrom="margin">
              <wp14:pctWidth>0</wp14:pctWidth>
            </wp14:sizeRelH>
            <wp14:sizeRelV relativeFrom="margin">
              <wp14:pctHeight>0</wp14:pctHeight>
            </wp14:sizeRelV>
          </wp:anchor>
        </w:drawing>
      </w:r>
    </w:p>
    <w:p w14:paraId="4BE73F56" w14:textId="60F2B843" w:rsidR="00327A53" w:rsidRP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b/>
          <w:bCs/>
          <w:color w:val="231F20"/>
          <w:lang w:eastAsia="en-AU"/>
        </w:rPr>
        <w:t>CASE STUDY 2 </w:t>
      </w:r>
    </w:p>
    <w:p w14:paraId="0175A9FA" w14:textId="77777777" w:rsidR="00327A53" w:rsidRPr="00327A53" w:rsidRDefault="00327A53" w:rsidP="00327A53">
      <w:pPr>
        <w:shd w:val="clear" w:color="auto" w:fill="FFFFFF"/>
        <w:spacing w:after="0" w:line="240" w:lineRule="auto"/>
        <w:jc w:val="left"/>
        <w:rPr>
          <w:rFonts w:ascii="Garamond" w:eastAsia="Times New Roman" w:hAnsi="Garamond" w:cs="Times New Roman"/>
          <w:color w:val="82CC2E"/>
          <w:lang w:eastAsia="en-AU"/>
        </w:rPr>
      </w:pPr>
      <w:r w:rsidRPr="00327A53">
        <w:rPr>
          <w:rFonts w:ascii="Garamond" w:eastAsia="Times New Roman" w:hAnsi="Garamond" w:cs="Times New Roman"/>
          <w:b/>
          <w:bCs/>
          <w:color w:val="82CC2E"/>
          <w:lang w:eastAsia="en-AU"/>
        </w:rPr>
        <w:t>TRAVEL EXPENSES</w:t>
      </w:r>
    </w:p>
    <w:p w14:paraId="3009925A" w14:textId="17549EC0" w:rsidR="00327A53" w:rsidRP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color w:val="231F20"/>
          <w:lang w:eastAsia="en-AU"/>
        </w:rPr>
        <w:t xml:space="preserve">A wine expert, working at a high-end restaurant, took annual leave and went to Europe for a holiday. He claimed thousands of dollars in airfares, car expenses, </w:t>
      </w:r>
      <w:r>
        <w:rPr>
          <w:rFonts w:ascii="Garamond" w:eastAsia="Times New Roman" w:hAnsi="Garamond" w:cs="Times New Roman"/>
          <w:color w:val="231F20"/>
          <w:lang w:eastAsia="en-AU"/>
        </w:rPr>
        <w:t>a</w:t>
      </w:r>
      <w:r w:rsidRPr="00327A53">
        <w:rPr>
          <w:rFonts w:ascii="Garamond" w:eastAsia="Times New Roman" w:hAnsi="Garamond" w:cs="Times New Roman"/>
          <w:color w:val="231F20"/>
          <w:lang w:eastAsia="en-AU"/>
        </w:rPr>
        <w:t>ccommodation, and various tour expenses, based on the fact that he’d visited some wineries. He also claimed over $9,000 for cases of wine. All his deductions were disallowed when the employer confirmed the claims were private in nature and not related to earning his income</w:t>
      </w:r>
    </w:p>
    <w:p w14:paraId="7214170F" w14:textId="5905E3C6" w:rsidR="00327A53" w:rsidRDefault="00CA1FF3" w:rsidP="009F0E55">
      <w:pPr>
        <w:jc w:val="left"/>
        <w:rPr>
          <w:rFonts w:ascii="Garamond" w:hAnsi="Garamond"/>
        </w:rPr>
      </w:pPr>
      <w:r>
        <w:rPr>
          <w:noProof/>
        </w:rPr>
        <w:drawing>
          <wp:anchor distT="0" distB="0" distL="114300" distR="114300" simplePos="0" relativeHeight="251661312" behindDoc="0" locked="0" layoutInCell="1" allowOverlap="1" wp14:anchorId="0946EEC4" wp14:editId="7FA67A44">
            <wp:simplePos x="0" y="0"/>
            <wp:positionH relativeFrom="column">
              <wp:posOffset>-535305</wp:posOffset>
            </wp:positionH>
            <wp:positionV relativeFrom="paragraph">
              <wp:posOffset>43815</wp:posOffset>
            </wp:positionV>
            <wp:extent cx="1405255" cy="2863215"/>
            <wp:effectExtent l="0" t="0" r="4445" b="0"/>
            <wp:wrapThrough wrapText="bothSides">
              <wp:wrapPolygon edited="0">
                <wp:start x="0" y="0"/>
                <wp:lineTo x="0" y="21413"/>
                <wp:lineTo x="21376" y="21413"/>
                <wp:lineTo x="2137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05255" cy="2863215"/>
                    </a:xfrm>
                    <a:prstGeom prst="rect">
                      <a:avLst/>
                    </a:prstGeom>
                  </pic:spPr>
                </pic:pic>
              </a:graphicData>
            </a:graphic>
            <wp14:sizeRelH relativeFrom="margin">
              <wp14:pctWidth>0</wp14:pctWidth>
            </wp14:sizeRelH>
            <wp14:sizeRelV relativeFrom="margin">
              <wp14:pctHeight>0</wp14:pctHeight>
            </wp14:sizeRelV>
          </wp:anchor>
        </w:drawing>
      </w:r>
    </w:p>
    <w:p w14:paraId="3BCDB8B9" w14:textId="1CEF6540" w:rsidR="00327A53" w:rsidRP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b/>
          <w:bCs/>
          <w:color w:val="231F20"/>
          <w:lang w:eastAsia="en-AU"/>
        </w:rPr>
        <w:t>CASE STUDY 3 </w:t>
      </w:r>
    </w:p>
    <w:p w14:paraId="5E346E31" w14:textId="77777777" w:rsidR="00327A53" w:rsidRPr="00327A53" w:rsidRDefault="00327A53" w:rsidP="00327A53">
      <w:pPr>
        <w:shd w:val="clear" w:color="auto" w:fill="FFFFFF"/>
        <w:spacing w:after="0" w:line="240" w:lineRule="auto"/>
        <w:jc w:val="left"/>
        <w:rPr>
          <w:rFonts w:ascii="Garamond" w:eastAsia="Times New Roman" w:hAnsi="Garamond" w:cs="Times New Roman"/>
          <w:color w:val="82CC2E"/>
          <w:lang w:eastAsia="en-AU"/>
        </w:rPr>
      </w:pPr>
      <w:r w:rsidRPr="00327A53">
        <w:rPr>
          <w:rFonts w:ascii="Garamond" w:eastAsia="Times New Roman" w:hAnsi="Garamond" w:cs="Times New Roman"/>
          <w:b/>
          <w:bCs/>
          <w:color w:val="82CC2E"/>
          <w:lang w:eastAsia="en-AU"/>
        </w:rPr>
        <w:t>SELF-EDUCATION</w:t>
      </w:r>
    </w:p>
    <w:p w14:paraId="3E14DCFE" w14:textId="361E5EE6" w:rsidR="00327A53" w:rsidRP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color w:val="231F20"/>
          <w:lang w:eastAsia="en-AU"/>
        </w:rPr>
        <w:t>A taxpayer claimed self-education expenses for the cost of leasing a residential property, which was not his main residence. The taxpayer claimed he had to incur the expense of renting the property as he ‘required peace and quiet for uninterrupted study which he could not have in his own home’. This was not deductible.</w:t>
      </w:r>
      <w:r w:rsidR="00CA1FF3">
        <w:rPr>
          <w:rFonts w:ascii="Garamond" w:eastAsia="Times New Roman" w:hAnsi="Garamond" w:cs="Times New Roman"/>
          <w:color w:val="231F20"/>
          <w:lang w:eastAsia="en-AU"/>
        </w:rPr>
        <w:br/>
      </w:r>
    </w:p>
    <w:p w14:paraId="150A3AB0" w14:textId="6206B36E" w:rsid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color w:val="231F20"/>
          <w:lang w:eastAsia="en-AU"/>
        </w:rPr>
        <w:t>In addition to the rental expenses, the cost of a storage facility was claimed where ‘the taxpayer needed to store his books and study materials’. He claimed he needed this because of the huge amount of books and study material associated with his course and that he had no space in his private or rented residence where these could be housed. This was not deductible.</w:t>
      </w:r>
    </w:p>
    <w:p w14:paraId="2ACCC604" w14:textId="77777777" w:rsidR="00CA1FF3" w:rsidRPr="00327A53" w:rsidRDefault="00CA1FF3" w:rsidP="00327A53">
      <w:pPr>
        <w:shd w:val="clear" w:color="auto" w:fill="FFFFFF"/>
        <w:spacing w:after="0" w:line="240" w:lineRule="auto"/>
        <w:jc w:val="left"/>
        <w:rPr>
          <w:rFonts w:ascii="Garamond" w:eastAsia="Times New Roman" w:hAnsi="Garamond" w:cs="Times New Roman"/>
          <w:color w:val="231F20"/>
          <w:lang w:eastAsia="en-AU"/>
        </w:rPr>
      </w:pPr>
    </w:p>
    <w:p w14:paraId="1BB833AB" w14:textId="148577AB" w:rsidR="00327A53" w:rsidRPr="00327A53" w:rsidRDefault="00327A53" w:rsidP="00327A53">
      <w:pPr>
        <w:shd w:val="clear" w:color="auto" w:fill="FFFFFF"/>
        <w:spacing w:after="0" w:line="240" w:lineRule="auto"/>
        <w:jc w:val="left"/>
        <w:rPr>
          <w:rFonts w:ascii="Garamond" w:eastAsia="Times New Roman" w:hAnsi="Garamond" w:cs="Times New Roman"/>
          <w:color w:val="231F20"/>
          <w:lang w:eastAsia="en-AU"/>
        </w:rPr>
      </w:pPr>
      <w:r w:rsidRPr="00327A53">
        <w:rPr>
          <w:rFonts w:ascii="Garamond" w:eastAsia="Times New Roman" w:hAnsi="Garamond" w:cs="Times New Roman"/>
          <w:color w:val="231F20"/>
          <w:lang w:eastAsia="en-AU"/>
        </w:rPr>
        <w:t>The cost of renting the property was around $57,000, with additional expense of $7,500 for the storage facility. The actual cost of the study program he attended that year was only $1,200</w:t>
      </w:r>
      <w:r w:rsidR="00CA1FF3">
        <w:rPr>
          <w:rFonts w:ascii="Garamond" w:eastAsia="Times New Roman" w:hAnsi="Garamond" w:cs="Times New Roman"/>
          <w:color w:val="231F20"/>
          <w:lang w:eastAsia="en-AU"/>
        </w:rPr>
        <w:t>.</w:t>
      </w:r>
    </w:p>
    <w:p w14:paraId="4B1C12CC" w14:textId="17EEFFFB" w:rsidR="00327A53" w:rsidRDefault="00CA1FF3" w:rsidP="009F0E55">
      <w:pPr>
        <w:jc w:val="left"/>
        <w:rPr>
          <w:rFonts w:ascii="Garamond" w:hAnsi="Garamond"/>
        </w:rPr>
      </w:pPr>
      <w:r w:rsidRPr="00CA1FF3">
        <w:rPr>
          <w:noProof/>
        </w:rPr>
        <w:drawing>
          <wp:anchor distT="0" distB="0" distL="114300" distR="114300" simplePos="0" relativeHeight="251662336" behindDoc="0" locked="0" layoutInCell="1" allowOverlap="1" wp14:anchorId="0A3E623A" wp14:editId="256CFE27">
            <wp:simplePos x="0" y="0"/>
            <wp:positionH relativeFrom="column">
              <wp:posOffset>-612775</wp:posOffset>
            </wp:positionH>
            <wp:positionV relativeFrom="paragraph">
              <wp:posOffset>189230</wp:posOffset>
            </wp:positionV>
            <wp:extent cx="1482725" cy="1085850"/>
            <wp:effectExtent l="0" t="0" r="3175" b="0"/>
            <wp:wrapThrough wrapText="bothSides">
              <wp:wrapPolygon edited="0">
                <wp:start x="0" y="0"/>
                <wp:lineTo x="0" y="21221"/>
                <wp:lineTo x="21369" y="21221"/>
                <wp:lineTo x="2136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82725" cy="1085850"/>
                    </a:xfrm>
                    <a:prstGeom prst="rect">
                      <a:avLst/>
                    </a:prstGeom>
                  </pic:spPr>
                </pic:pic>
              </a:graphicData>
            </a:graphic>
            <wp14:sizeRelH relativeFrom="margin">
              <wp14:pctWidth>0</wp14:pctWidth>
            </wp14:sizeRelH>
          </wp:anchor>
        </w:drawing>
      </w:r>
    </w:p>
    <w:p w14:paraId="178C73EF" w14:textId="77777777" w:rsidR="00CA1FF3" w:rsidRPr="00CA1FF3" w:rsidRDefault="00CA1FF3" w:rsidP="00CA1FF3">
      <w:pPr>
        <w:shd w:val="clear" w:color="auto" w:fill="FFFFFF"/>
        <w:spacing w:after="0" w:line="240" w:lineRule="auto"/>
        <w:jc w:val="left"/>
        <w:rPr>
          <w:rFonts w:ascii="Garamond" w:eastAsia="Times New Roman" w:hAnsi="Garamond" w:cs="Times New Roman"/>
          <w:color w:val="231F20"/>
          <w:lang w:eastAsia="en-AU"/>
        </w:rPr>
      </w:pPr>
      <w:r w:rsidRPr="00CA1FF3">
        <w:rPr>
          <w:rFonts w:ascii="Garamond" w:eastAsia="Times New Roman" w:hAnsi="Garamond" w:cs="Times New Roman"/>
          <w:b/>
          <w:bCs/>
          <w:color w:val="231F20"/>
          <w:lang w:eastAsia="en-AU"/>
        </w:rPr>
        <w:t>CASE STUDY 4 </w:t>
      </w:r>
    </w:p>
    <w:p w14:paraId="0248639E" w14:textId="77777777" w:rsidR="00CA1FF3" w:rsidRPr="00CA1FF3" w:rsidRDefault="00CA1FF3" w:rsidP="00CA1FF3">
      <w:pPr>
        <w:shd w:val="clear" w:color="auto" w:fill="FFFFFF"/>
        <w:spacing w:after="0" w:line="240" w:lineRule="auto"/>
        <w:jc w:val="left"/>
        <w:rPr>
          <w:rFonts w:ascii="Garamond" w:eastAsia="Times New Roman" w:hAnsi="Garamond" w:cs="Times New Roman"/>
          <w:color w:val="82CC2E"/>
          <w:lang w:eastAsia="en-AU"/>
        </w:rPr>
      </w:pPr>
      <w:r w:rsidRPr="00CA1FF3">
        <w:rPr>
          <w:rFonts w:ascii="Garamond" w:eastAsia="Times New Roman" w:hAnsi="Garamond" w:cs="Times New Roman"/>
          <w:b/>
          <w:bCs/>
          <w:color w:val="82CC2E"/>
          <w:lang w:eastAsia="en-AU"/>
        </w:rPr>
        <w:t>TRAVEL EXPENSES</w:t>
      </w:r>
    </w:p>
    <w:p w14:paraId="46193B22" w14:textId="2533059D" w:rsidR="00CA1FF3" w:rsidRPr="00CA1FF3" w:rsidRDefault="00CA1FF3" w:rsidP="00CA1FF3">
      <w:pPr>
        <w:shd w:val="clear" w:color="auto" w:fill="FFFFFF"/>
        <w:spacing w:after="0" w:line="240" w:lineRule="auto"/>
        <w:jc w:val="left"/>
        <w:rPr>
          <w:rFonts w:ascii="Source Sans Pro" w:eastAsia="Times New Roman" w:hAnsi="Source Sans Pro" w:cs="Times New Roman"/>
          <w:color w:val="231F20"/>
          <w:sz w:val="17"/>
          <w:szCs w:val="17"/>
          <w:lang w:eastAsia="en-AU"/>
        </w:rPr>
      </w:pPr>
      <w:r w:rsidRPr="00CA1FF3">
        <w:rPr>
          <w:rFonts w:ascii="Garamond" w:eastAsia="Times New Roman" w:hAnsi="Garamond" w:cs="Times New Roman"/>
          <w:color w:val="231F20"/>
          <w:lang w:eastAsia="en-AU"/>
        </w:rPr>
        <w:t>A medical professional made a claim for attending a conference in America and provided an invoice for the expense. When the ATO checked, they found that the taxpayer was still in Australia at the time of the conference. The claims were disallowed</w:t>
      </w:r>
      <w:r w:rsidR="00F2520A">
        <w:rPr>
          <w:rFonts w:ascii="Garamond" w:eastAsia="Times New Roman" w:hAnsi="Garamond" w:cs="Times New Roman"/>
          <w:color w:val="231F20"/>
          <w:lang w:eastAsia="en-AU"/>
        </w:rPr>
        <w:t>,</w:t>
      </w:r>
      <w:r w:rsidRPr="00CA1FF3">
        <w:rPr>
          <w:rFonts w:ascii="Garamond" w:eastAsia="Times New Roman" w:hAnsi="Garamond" w:cs="Times New Roman"/>
          <w:color w:val="231F20"/>
          <w:lang w:eastAsia="en-AU"/>
        </w:rPr>
        <w:t xml:space="preserve"> and the taxpayer received a substantial penalty</w:t>
      </w:r>
      <w:r>
        <w:rPr>
          <w:rFonts w:ascii="Garamond" w:eastAsia="Times New Roman" w:hAnsi="Garamond" w:cs="Times New Roman"/>
          <w:color w:val="231F20"/>
          <w:lang w:eastAsia="en-AU"/>
        </w:rPr>
        <w:t>.</w:t>
      </w:r>
    </w:p>
    <w:p w14:paraId="0CF39407" w14:textId="533C2B30" w:rsidR="00327A53" w:rsidRDefault="00327A53" w:rsidP="009F0E55">
      <w:pPr>
        <w:jc w:val="left"/>
        <w:rPr>
          <w:rFonts w:ascii="Garamond" w:hAnsi="Garamond"/>
        </w:rPr>
      </w:pPr>
    </w:p>
    <w:p w14:paraId="4651A1E2" w14:textId="44BC45F3" w:rsidR="00356C13" w:rsidRDefault="00356C13" w:rsidP="009F0E55">
      <w:pPr>
        <w:jc w:val="left"/>
        <w:rPr>
          <w:rFonts w:ascii="Garamond" w:hAnsi="Garamond"/>
        </w:rPr>
      </w:pPr>
    </w:p>
    <w:p w14:paraId="05D455DF" w14:textId="3DEEF047" w:rsidR="00356C13" w:rsidRDefault="00356C13" w:rsidP="009F0E55">
      <w:pPr>
        <w:jc w:val="left"/>
        <w:rPr>
          <w:rFonts w:ascii="Garamond" w:hAnsi="Garamond"/>
        </w:rPr>
      </w:pPr>
    </w:p>
    <w:p w14:paraId="1284AA57" w14:textId="06877738" w:rsidR="00356C13" w:rsidRDefault="00356C13" w:rsidP="009F0E55">
      <w:pPr>
        <w:jc w:val="left"/>
        <w:rPr>
          <w:rFonts w:ascii="Garamond" w:hAnsi="Garamond"/>
        </w:rPr>
      </w:pPr>
    </w:p>
    <w:p w14:paraId="15F547E2" w14:textId="7DD366D7" w:rsidR="00356C13" w:rsidRDefault="00356C13" w:rsidP="009F0E55">
      <w:pPr>
        <w:jc w:val="left"/>
        <w:rPr>
          <w:rFonts w:ascii="Garamond" w:hAnsi="Garamond"/>
        </w:rPr>
      </w:pPr>
    </w:p>
    <w:p w14:paraId="321D39B9" w14:textId="55F6544A" w:rsidR="00356C13" w:rsidRDefault="00356C13" w:rsidP="009F0E55">
      <w:pPr>
        <w:jc w:val="left"/>
        <w:rPr>
          <w:rFonts w:ascii="Garamond" w:hAnsi="Garamond"/>
        </w:rPr>
      </w:pPr>
    </w:p>
    <w:p w14:paraId="660C74A5" w14:textId="77777777" w:rsidR="002C1658" w:rsidRDefault="002C1658" w:rsidP="009F0E55">
      <w:pPr>
        <w:jc w:val="left"/>
        <w:rPr>
          <w:rFonts w:ascii="Garamond" w:hAnsi="Garamond"/>
        </w:rPr>
      </w:pPr>
    </w:p>
    <w:p w14:paraId="6D777623" w14:textId="56E23489" w:rsidR="00356C13" w:rsidRDefault="00356C13" w:rsidP="00356C13">
      <w:pPr>
        <w:jc w:val="center"/>
        <w:rPr>
          <w:rFonts w:ascii="Garamond" w:hAnsi="Garamond"/>
          <w:b/>
          <w:sz w:val="32"/>
          <w:szCs w:val="32"/>
        </w:rPr>
      </w:pPr>
      <w:r w:rsidRPr="00356C13">
        <w:rPr>
          <w:rFonts w:ascii="Garamond" w:hAnsi="Garamond"/>
          <w:b/>
          <w:sz w:val="32"/>
          <w:szCs w:val="32"/>
        </w:rPr>
        <w:lastRenderedPageBreak/>
        <w:t>CHRISTMAS AND THE TAXMAN</w:t>
      </w:r>
    </w:p>
    <w:p w14:paraId="3596D9A5" w14:textId="5B452639" w:rsidR="005C41F5" w:rsidRDefault="005C41F5" w:rsidP="005C41F5"/>
    <w:p w14:paraId="483AA255" w14:textId="27E786F1" w:rsidR="005C41F5" w:rsidRDefault="005C41F5" w:rsidP="00356C13">
      <w:pPr>
        <w:shd w:val="clear" w:color="auto" w:fill="FFFFFF"/>
        <w:spacing w:after="0" w:line="240" w:lineRule="auto"/>
        <w:jc w:val="left"/>
        <w:rPr>
          <w:rFonts w:ascii="Garamond" w:eastAsia="Times New Roman" w:hAnsi="Garamond" w:cs="Times New Roman"/>
          <w:color w:val="231F20"/>
          <w:lang w:eastAsia="en-AU"/>
        </w:rPr>
      </w:pPr>
      <w:r w:rsidRPr="005C41F5">
        <w:rPr>
          <w:rFonts w:ascii="Garamond" w:eastAsia="Times New Roman" w:hAnsi="Garamond" w:cs="Times New Roman"/>
          <w:noProof/>
          <w:color w:val="231F20"/>
          <w:lang w:eastAsia="en-AU"/>
        </w:rPr>
        <mc:AlternateContent>
          <mc:Choice Requires="wps">
            <w:drawing>
              <wp:anchor distT="45720" distB="45720" distL="114300" distR="114300" simplePos="0" relativeHeight="251665408" behindDoc="0" locked="0" layoutInCell="1" allowOverlap="1" wp14:anchorId="4F0CE89F" wp14:editId="742B167C">
                <wp:simplePos x="0" y="0"/>
                <wp:positionH relativeFrom="column">
                  <wp:posOffset>2104390</wp:posOffset>
                </wp:positionH>
                <wp:positionV relativeFrom="paragraph">
                  <wp:posOffset>98940</wp:posOffset>
                </wp:positionV>
                <wp:extent cx="4031615" cy="848995"/>
                <wp:effectExtent l="0" t="0" r="6985" b="8255"/>
                <wp:wrapThrough wrapText="bothSides">
                  <wp:wrapPolygon edited="0">
                    <wp:start x="0" y="0"/>
                    <wp:lineTo x="0" y="21325"/>
                    <wp:lineTo x="21535" y="21325"/>
                    <wp:lineTo x="2153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848995"/>
                        </a:xfrm>
                        <a:prstGeom prst="rect">
                          <a:avLst/>
                        </a:prstGeom>
                        <a:solidFill>
                          <a:srgbClr val="FFFFFF"/>
                        </a:solidFill>
                        <a:ln w="9525">
                          <a:noFill/>
                          <a:miter lim="800000"/>
                          <a:headEnd/>
                          <a:tailEnd/>
                        </a:ln>
                      </wps:spPr>
                      <wps:txbx>
                        <w:txbxContent>
                          <w:p w14:paraId="65F82A49" w14:textId="3DDFCFE8" w:rsidR="005C41F5" w:rsidRPr="005C41F5" w:rsidRDefault="005C41F5" w:rsidP="005C41F5">
                            <w:pPr>
                              <w:shd w:val="clear" w:color="auto" w:fill="FFFFFF"/>
                              <w:spacing w:after="0" w:line="240" w:lineRule="auto"/>
                              <w:jc w:val="center"/>
                              <w:rPr>
                                <w:rFonts w:ascii="Garamond" w:eastAsia="Times New Roman" w:hAnsi="Garamond" w:cs="Times New Roman"/>
                                <w:b/>
                                <w:bCs/>
                                <w:iCs/>
                                <w:color w:val="000000" w:themeColor="text1"/>
                                <w:sz w:val="24"/>
                                <w:szCs w:val="24"/>
                                <w:lang w:eastAsia="en-AU"/>
                              </w:rPr>
                            </w:pPr>
                            <w:r w:rsidRPr="005C41F5">
                              <w:rPr>
                                <w:rFonts w:ascii="Garamond" w:eastAsia="Times New Roman" w:hAnsi="Garamond" w:cs="Times New Roman"/>
                                <w:b/>
                                <w:bCs/>
                                <w:iCs/>
                                <w:color w:val="000000" w:themeColor="text1"/>
                                <w:sz w:val="24"/>
                                <w:szCs w:val="24"/>
                                <w:lang w:eastAsia="en-AU"/>
                              </w:rPr>
                              <w:t>GIFTS TO EMPLOYEES AND ASSOCIATES (SPOUSES)</w:t>
                            </w:r>
                          </w:p>
                          <w:p w14:paraId="17BE3549" w14:textId="77777777" w:rsidR="005C41F5" w:rsidRDefault="005C41F5" w:rsidP="005C41F5">
                            <w:pPr>
                              <w:shd w:val="clear" w:color="auto" w:fill="FFFFFF"/>
                              <w:spacing w:after="0" w:line="240" w:lineRule="auto"/>
                              <w:jc w:val="left"/>
                              <w:rPr>
                                <w:rFonts w:ascii="Source Sans Pro" w:eastAsia="Times New Roman" w:hAnsi="Source Sans Pro" w:cs="Times New Roman"/>
                                <w:b/>
                                <w:bCs/>
                                <w:i/>
                                <w:iCs/>
                                <w:color w:val="B21C19"/>
                                <w:sz w:val="17"/>
                                <w:szCs w:val="17"/>
                                <w:lang w:eastAsia="en-AU"/>
                              </w:rPr>
                            </w:pPr>
                          </w:p>
                          <w:p w14:paraId="200AE5E9" w14:textId="7C7B0D67" w:rsidR="005C41F5" w:rsidRPr="005C41F5" w:rsidRDefault="005C41F5" w:rsidP="005C41F5">
                            <w:pPr>
                              <w:shd w:val="clear" w:color="auto" w:fill="FFFFFF"/>
                              <w:spacing w:after="0" w:line="240" w:lineRule="auto"/>
                              <w:jc w:val="center"/>
                              <w:rPr>
                                <w:rFonts w:ascii="Source Sans Pro" w:eastAsia="Times New Roman" w:hAnsi="Source Sans Pro" w:cs="Times New Roman"/>
                                <w:color w:val="B21C19"/>
                                <w:sz w:val="17"/>
                                <w:szCs w:val="17"/>
                                <w:lang w:eastAsia="en-AU"/>
                              </w:rPr>
                            </w:pPr>
                            <w:r w:rsidRPr="005C41F5">
                              <w:rPr>
                                <w:rFonts w:ascii="Source Sans Pro" w:eastAsia="Times New Roman" w:hAnsi="Source Sans Pro" w:cs="Times New Roman"/>
                                <w:b/>
                                <w:bCs/>
                                <w:i/>
                                <w:iCs/>
                                <w:color w:val="B21C19"/>
                                <w:sz w:val="17"/>
                                <w:szCs w:val="17"/>
                                <w:lang w:eastAsia="en-AU"/>
                              </w:rPr>
                              <w:t>This Flowchart allows you to assess the tax treatment of gifts provided to employees/associates:</w:t>
                            </w:r>
                          </w:p>
                          <w:p w14:paraId="4805E839" w14:textId="774F3AFC" w:rsidR="005C41F5" w:rsidRDefault="005C4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CE89F" id="_x0000_t202" coordsize="21600,21600" o:spt="202" path="m,l,21600r21600,l21600,xe">
                <v:stroke joinstyle="miter"/>
                <v:path gradientshapeok="t" o:connecttype="rect"/>
              </v:shapetype>
              <v:shape id="Text Box 2" o:spid="_x0000_s1026" type="#_x0000_t202" style="position:absolute;margin-left:165.7pt;margin-top:7.8pt;width:317.45pt;height:66.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TmIQIAAB0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srimxDCN&#10;TXoUYyDvYCRl1GewvsKwB4uBYcRr7HOq1dt74N89MbDtmdmLW+dg6AVrkV8RM7OL1AnHR5Bm+AQt&#10;PsMOARLQ2DkdxUM5CKJjn57OvYlUOF7O87fFVbGghKNvOV+uVov0BKues63z4YMATeKhpg57n9DZ&#10;8d6HyIZVzyHxMQ9KtjupVDLcvtkqR44M52SX1gn9tzBlyFDT1aJcJGQDMT+NkJYB51hJjeTyuGI6&#10;q6Ia702bzoFJNZ2RiTIneaIikzZhbEYMjJo10D6hUA6mecX/hYce3E9KBpzVmvofB+YEJeqjQbFX&#10;xXwehzsZ88V1iYa79DSXHmY4QtU0UDIdtyF9iMjXwC02pZNJrxcmJ644g0nG03+JQ35pp6iXX735&#10;BQAA//8DAFBLAwQUAAYACAAAACEA/IfV7d4AAAAKAQAADwAAAGRycy9kb3ducmV2LnhtbEyPwU6D&#10;QBCG7ya+w2ZMvBi7VOhWKEujJhqvrX2AAbZAys4Sdlvo2zue7HHm//LPN/l2tr24mNF3jjQsFxEI&#10;Q5WrO2o0HH4+n19B+IBUY+/IaLgaD9vi/i7HrHYT7cxlHxrBJeQz1NCGMGRS+qo1Fv3CDYY4O7rR&#10;YuBxbGQ94sTltpcvUaSkxY74QouD+WhNddqfrYbj9/S0SqfyKxzWu0S9Y7cu3VXrx4f5bQMimDn8&#10;w/Cnz+pQsFPpzlR70WuI42XCKAcrBYKBVKkYRMmLJI1BFrm8faH4BQAA//8DAFBLAQItABQABgAI&#10;AAAAIQC2gziS/gAAAOEBAAATAAAAAAAAAAAAAAAAAAAAAABbQ29udGVudF9UeXBlc10ueG1sUEsB&#10;Ai0AFAAGAAgAAAAhADj9If/WAAAAlAEAAAsAAAAAAAAAAAAAAAAALwEAAF9yZWxzLy5yZWxzUEsB&#10;Ai0AFAAGAAgAAAAhAC3TpOYhAgAAHQQAAA4AAAAAAAAAAAAAAAAALgIAAGRycy9lMm9Eb2MueG1s&#10;UEsBAi0AFAAGAAgAAAAhAPyH1e3eAAAACgEAAA8AAAAAAAAAAAAAAAAAewQAAGRycy9kb3ducmV2&#10;LnhtbFBLBQYAAAAABAAEAPMAAACGBQAAAAA=&#10;" stroked="f">
                <v:textbox>
                  <w:txbxContent>
                    <w:p w14:paraId="65F82A49" w14:textId="3DDFCFE8" w:rsidR="005C41F5" w:rsidRPr="005C41F5" w:rsidRDefault="005C41F5" w:rsidP="005C41F5">
                      <w:pPr>
                        <w:shd w:val="clear" w:color="auto" w:fill="FFFFFF"/>
                        <w:spacing w:after="0" w:line="240" w:lineRule="auto"/>
                        <w:jc w:val="center"/>
                        <w:rPr>
                          <w:rFonts w:ascii="Garamond" w:eastAsia="Times New Roman" w:hAnsi="Garamond" w:cs="Times New Roman"/>
                          <w:b/>
                          <w:bCs/>
                          <w:iCs/>
                          <w:color w:val="000000" w:themeColor="text1"/>
                          <w:sz w:val="24"/>
                          <w:szCs w:val="24"/>
                          <w:lang w:eastAsia="en-AU"/>
                        </w:rPr>
                      </w:pPr>
                      <w:r w:rsidRPr="005C41F5">
                        <w:rPr>
                          <w:rFonts w:ascii="Garamond" w:eastAsia="Times New Roman" w:hAnsi="Garamond" w:cs="Times New Roman"/>
                          <w:b/>
                          <w:bCs/>
                          <w:iCs/>
                          <w:color w:val="000000" w:themeColor="text1"/>
                          <w:sz w:val="24"/>
                          <w:szCs w:val="24"/>
                          <w:lang w:eastAsia="en-AU"/>
                        </w:rPr>
                        <w:t>GIFTS TO EMPLOYEES AND ASSOCIATES (SPOUSES)</w:t>
                      </w:r>
                    </w:p>
                    <w:p w14:paraId="17BE3549" w14:textId="77777777" w:rsidR="005C41F5" w:rsidRDefault="005C41F5" w:rsidP="005C41F5">
                      <w:pPr>
                        <w:shd w:val="clear" w:color="auto" w:fill="FFFFFF"/>
                        <w:spacing w:after="0" w:line="240" w:lineRule="auto"/>
                        <w:jc w:val="left"/>
                        <w:rPr>
                          <w:rFonts w:ascii="Source Sans Pro" w:eastAsia="Times New Roman" w:hAnsi="Source Sans Pro" w:cs="Times New Roman"/>
                          <w:b/>
                          <w:bCs/>
                          <w:i/>
                          <w:iCs/>
                          <w:color w:val="B21C19"/>
                          <w:sz w:val="17"/>
                          <w:szCs w:val="17"/>
                          <w:lang w:eastAsia="en-AU"/>
                        </w:rPr>
                      </w:pPr>
                    </w:p>
                    <w:p w14:paraId="200AE5E9" w14:textId="7C7B0D67" w:rsidR="005C41F5" w:rsidRPr="005C41F5" w:rsidRDefault="005C41F5" w:rsidP="005C41F5">
                      <w:pPr>
                        <w:shd w:val="clear" w:color="auto" w:fill="FFFFFF"/>
                        <w:spacing w:after="0" w:line="240" w:lineRule="auto"/>
                        <w:jc w:val="center"/>
                        <w:rPr>
                          <w:rFonts w:ascii="Source Sans Pro" w:eastAsia="Times New Roman" w:hAnsi="Source Sans Pro" w:cs="Times New Roman"/>
                          <w:color w:val="B21C19"/>
                          <w:sz w:val="17"/>
                          <w:szCs w:val="17"/>
                          <w:lang w:eastAsia="en-AU"/>
                        </w:rPr>
                      </w:pPr>
                      <w:r w:rsidRPr="005C41F5">
                        <w:rPr>
                          <w:rFonts w:ascii="Source Sans Pro" w:eastAsia="Times New Roman" w:hAnsi="Source Sans Pro" w:cs="Times New Roman"/>
                          <w:b/>
                          <w:bCs/>
                          <w:i/>
                          <w:iCs/>
                          <w:color w:val="B21C19"/>
                          <w:sz w:val="17"/>
                          <w:szCs w:val="17"/>
                          <w:lang w:eastAsia="en-AU"/>
                        </w:rPr>
                        <w:t>This Flowchart allows you to assess the tax treatment of gifts provided to employees/associates:</w:t>
                      </w:r>
                    </w:p>
                    <w:p w14:paraId="4805E839" w14:textId="774F3AFC" w:rsidR="005C41F5" w:rsidRDefault="005C41F5"/>
                  </w:txbxContent>
                </v:textbox>
                <w10:wrap type="through"/>
              </v:shape>
            </w:pict>
          </mc:Fallback>
        </mc:AlternateContent>
      </w:r>
    </w:p>
    <w:p w14:paraId="6E7DCF69" w14:textId="1C9F575F" w:rsidR="00356C13" w:rsidRPr="00356C13" w:rsidRDefault="005C41F5" w:rsidP="00356C13">
      <w:pPr>
        <w:shd w:val="clear" w:color="auto" w:fill="FFFFFF"/>
        <w:spacing w:after="0" w:line="240" w:lineRule="auto"/>
        <w:jc w:val="left"/>
        <w:rPr>
          <w:rFonts w:ascii="Garamond" w:eastAsia="Times New Roman" w:hAnsi="Garamond" w:cs="Times New Roman"/>
          <w:color w:val="231F20"/>
          <w:lang w:eastAsia="en-AU"/>
        </w:rPr>
      </w:pPr>
      <w:r>
        <w:rPr>
          <w:rFonts w:ascii="Garamond" w:eastAsia="Times New Roman" w:hAnsi="Garamond" w:cs="Times New Roman"/>
          <w:color w:val="231F20"/>
          <w:lang w:eastAsia="en-AU"/>
        </w:rPr>
        <w:t>C</w:t>
      </w:r>
      <w:r w:rsidR="00356C13" w:rsidRPr="00356C13">
        <w:rPr>
          <w:rFonts w:ascii="Garamond" w:eastAsia="Times New Roman" w:hAnsi="Garamond" w:cs="Times New Roman"/>
          <w:color w:val="231F20"/>
          <w:lang w:eastAsia="en-AU"/>
        </w:rPr>
        <w:t>hristmas is traditionally a time </w:t>
      </w:r>
    </w:p>
    <w:p w14:paraId="6B8AF2A4" w14:textId="0657DE5A"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of giving – including employers </w:t>
      </w:r>
    </w:p>
    <w:p w14:paraId="4C8B7563" w14:textId="650FB67D"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showing gratitude towards staff </w:t>
      </w:r>
    </w:p>
    <w:p w14:paraId="1D2341E4" w14:textId="3D1733B9"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and clients/suppliers for thei</w:t>
      </w:r>
      <w:r w:rsidR="00F92388">
        <w:rPr>
          <w:rFonts w:ascii="Garamond" w:eastAsia="Times New Roman" w:hAnsi="Garamond" w:cs="Times New Roman"/>
          <w:color w:val="231F20"/>
          <w:lang w:eastAsia="en-AU"/>
        </w:rPr>
        <w:t>r</w:t>
      </w:r>
      <w:r w:rsidRPr="00356C13">
        <w:rPr>
          <w:rFonts w:ascii="Garamond" w:eastAsia="Times New Roman" w:hAnsi="Garamond" w:cs="Times New Roman"/>
          <w:color w:val="231F20"/>
          <w:lang w:eastAsia="en-AU"/>
        </w:rPr>
        <w:t> </w:t>
      </w:r>
    </w:p>
    <w:p w14:paraId="6CA38305" w14:textId="28003B5C"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loyalty throughout the year. With </w:t>
      </w:r>
    </w:p>
    <w:p w14:paraId="57E643B0" w14:textId="06F69850" w:rsidR="00356C13" w:rsidRPr="00356C13" w:rsidRDefault="00F2520A"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hAnsi="Garamond"/>
          <w:noProof/>
        </w:rPr>
        <w:drawing>
          <wp:anchor distT="0" distB="0" distL="114300" distR="114300" simplePos="0" relativeHeight="251663360" behindDoc="0" locked="0" layoutInCell="1" allowOverlap="1" wp14:anchorId="69613D6D" wp14:editId="567C75A4">
            <wp:simplePos x="0" y="0"/>
            <wp:positionH relativeFrom="column">
              <wp:posOffset>2156460</wp:posOffset>
            </wp:positionH>
            <wp:positionV relativeFrom="paragraph">
              <wp:posOffset>120650</wp:posOffset>
            </wp:positionV>
            <wp:extent cx="4097020" cy="3484880"/>
            <wp:effectExtent l="0" t="0" r="0" b="1270"/>
            <wp:wrapThrough wrapText="bothSides">
              <wp:wrapPolygon edited="0">
                <wp:start x="0" y="0"/>
                <wp:lineTo x="0" y="21490"/>
                <wp:lineTo x="21493" y="21490"/>
                <wp:lineTo x="2149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097020" cy="3484880"/>
                    </a:xfrm>
                    <a:prstGeom prst="rect">
                      <a:avLst/>
                    </a:prstGeom>
                  </pic:spPr>
                </pic:pic>
              </a:graphicData>
            </a:graphic>
            <wp14:sizeRelH relativeFrom="margin">
              <wp14:pctWidth>0</wp14:pctWidth>
            </wp14:sizeRelH>
            <wp14:sizeRelV relativeFrom="margin">
              <wp14:pctHeight>0</wp14:pctHeight>
            </wp14:sizeRelV>
          </wp:anchor>
        </w:drawing>
      </w:r>
      <w:r w:rsidR="00356C13" w:rsidRPr="00356C13">
        <w:rPr>
          <w:rFonts w:ascii="Garamond" w:eastAsia="Times New Roman" w:hAnsi="Garamond" w:cs="Times New Roman"/>
          <w:color w:val="231F20"/>
          <w:lang w:eastAsia="en-AU"/>
        </w:rPr>
        <w:t>the right approach, it’s possible to </w:t>
      </w:r>
    </w:p>
    <w:p w14:paraId="37BF8DEE" w14:textId="3561E0B7"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enjoy some tax benefits out of your </w:t>
      </w:r>
    </w:p>
    <w:p w14:paraId="4AB4B8E1" w14:textId="1D7614E4"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generosity, and also avoid Fringe </w:t>
      </w:r>
    </w:p>
    <w:p w14:paraId="12256C47" w14:textId="737DD391"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Benefits Tax (FBT). But as always </w:t>
      </w:r>
    </w:p>
    <w:p w14:paraId="40B79FC8" w14:textId="071C5AAF"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with tax, the landscape is layered </w:t>
      </w:r>
    </w:p>
    <w:p w14:paraId="5F799A24" w14:textId="2372519C"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with complexity. The following </w:t>
      </w:r>
    </w:p>
    <w:p w14:paraId="571B32CA" w14:textId="1CF06303" w:rsidR="00356C13" w:rsidRPr="00356C13" w:rsidRDefault="00356C13" w:rsidP="00356C13">
      <w:pPr>
        <w:shd w:val="clear" w:color="auto" w:fill="FFFFFF"/>
        <w:spacing w:after="0" w:line="240" w:lineRule="auto"/>
        <w:jc w:val="left"/>
        <w:rPr>
          <w:rFonts w:ascii="Garamond" w:eastAsia="Times New Roman" w:hAnsi="Garamond" w:cs="Times New Roman"/>
          <w:color w:val="231F20"/>
          <w:lang w:eastAsia="en-AU"/>
        </w:rPr>
      </w:pPr>
      <w:r w:rsidRPr="00356C13">
        <w:rPr>
          <w:rFonts w:ascii="Garamond" w:eastAsia="Times New Roman" w:hAnsi="Garamond" w:cs="Times New Roman"/>
          <w:color w:val="231F20"/>
          <w:lang w:eastAsia="en-AU"/>
        </w:rPr>
        <w:t>is a general summary of the tax </w:t>
      </w:r>
    </w:p>
    <w:p w14:paraId="497855CF" w14:textId="0A29E7CC" w:rsidR="00356C13" w:rsidRDefault="00356C13" w:rsidP="00356C13">
      <w:pPr>
        <w:shd w:val="clear" w:color="auto" w:fill="FFFFFF"/>
        <w:spacing w:after="0" w:line="240" w:lineRule="auto"/>
        <w:jc w:val="left"/>
        <w:rPr>
          <w:rFonts w:ascii="Source Sans Pro" w:eastAsia="Times New Roman" w:hAnsi="Source Sans Pro" w:cs="Times New Roman"/>
          <w:color w:val="231F20"/>
          <w:sz w:val="21"/>
          <w:szCs w:val="21"/>
          <w:lang w:eastAsia="en-AU"/>
        </w:rPr>
      </w:pPr>
      <w:r w:rsidRPr="00356C13">
        <w:rPr>
          <w:rFonts w:ascii="Garamond" w:eastAsia="Times New Roman" w:hAnsi="Garamond" w:cs="Times New Roman"/>
          <w:color w:val="231F20"/>
          <w:lang w:eastAsia="en-AU"/>
        </w:rPr>
        <w:t>treatment of Christmas giving</w:t>
      </w:r>
      <w:r>
        <w:rPr>
          <w:rFonts w:ascii="Source Sans Pro" w:eastAsia="Times New Roman" w:hAnsi="Source Sans Pro" w:cs="Times New Roman"/>
          <w:color w:val="231F20"/>
          <w:sz w:val="21"/>
          <w:szCs w:val="21"/>
          <w:lang w:eastAsia="en-AU"/>
        </w:rPr>
        <w:t>.</w:t>
      </w:r>
    </w:p>
    <w:p w14:paraId="2BB29AD9" w14:textId="476FAF11" w:rsidR="005C41F5" w:rsidRPr="00356C13" w:rsidRDefault="005C41F5" w:rsidP="00356C13">
      <w:pPr>
        <w:shd w:val="clear" w:color="auto" w:fill="FFFFFF"/>
        <w:spacing w:after="0" w:line="240" w:lineRule="auto"/>
        <w:jc w:val="left"/>
        <w:rPr>
          <w:rFonts w:ascii="Source Sans Pro" w:eastAsia="Times New Roman" w:hAnsi="Source Sans Pro" w:cs="Times New Roman"/>
          <w:color w:val="231F20"/>
          <w:sz w:val="21"/>
          <w:szCs w:val="21"/>
          <w:lang w:eastAsia="en-AU"/>
        </w:rPr>
      </w:pPr>
    </w:p>
    <w:p w14:paraId="70A893B9" w14:textId="77777777" w:rsidR="005C41F5" w:rsidRPr="005C41F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The first step in the process is to identify whether or not entertainment has been provided.  The ATO make the observation that the provision of entertainment means:</w:t>
      </w:r>
    </w:p>
    <w:p w14:paraId="17273672" w14:textId="7031FAC6" w:rsidR="005C41F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  Providing entertainment by way of food, drink or recreation</w:t>
      </w:r>
      <w:r>
        <w:rPr>
          <w:rFonts w:ascii="Garamond" w:eastAsia="Times New Roman" w:hAnsi="Garamond" w:cs="Times New Roman"/>
          <w:color w:val="231F20"/>
          <w:lang w:eastAsia="en-AU"/>
        </w:rPr>
        <w:br/>
      </w:r>
      <w:r w:rsidRPr="005C41F5">
        <w:rPr>
          <w:rFonts w:ascii="Garamond" w:eastAsia="Times New Roman" w:hAnsi="Garamond" w:cs="Times New Roman"/>
          <w:color w:val="231F20"/>
          <w:lang w:eastAsia="en-AU"/>
        </w:rPr>
        <w:t xml:space="preserve">•  Providing accommodation or travel in connection with such </w:t>
      </w:r>
      <w:r w:rsidR="00F92388">
        <w:rPr>
          <w:rFonts w:ascii="Garamond" w:eastAsia="Times New Roman" w:hAnsi="Garamond" w:cs="Times New Roman"/>
          <w:color w:val="231F20"/>
          <w:lang w:eastAsia="en-AU"/>
        </w:rPr>
        <w:t>e</w:t>
      </w:r>
      <w:r w:rsidRPr="005C41F5">
        <w:rPr>
          <w:rFonts w:ascii="Garamond" w:eastAsia="Times New Roman" w:hAnsi="Garamond" w:cs="Times New Roman"/>
          <w:color w:val="231F20"/>
          <w:lang w:eastAsia="en-AU"/>
        </w:rPr>
        <w:t>ntertainment</w:t>
      </w:r>
      <w:r w:rsidR="00F92388">
        <w:rPr>
          <w:rFonts w:ascii="Garamond" w:eastAsia="Times New Roman" w:hAnsi="Garamond" w:cs="Times New Roman"/>
          <w:color w:val="231F20"/>
          <w:lang w:eastAsia="en-AU"/>
        </w:rPr>
        <w:t>,</w:t>
      </w:r>
      <w:r w:rsidRPr="005C41F5">
        <w:rPr>
          <w:rFonts w:ascii="Garamond" w:eastAsia="Times New Roman" w:hAnsi="Garamond" w:cs="Times New Roman"/>
          <w:color w:val="231F20"/>
          <w:lang w:eastAsia="en-AU"/>
        </w:rPr>
        <w:t xml:space="preserve"> or</w:t>
      </w:r>
      <w:r>
        <w:rPr>
          <w:rFonts w:ascii="Garamond" w:eastAsia="Times New Roman" w:hAnsi="Garamond" w:cs="Times New Roman"/>
          <w:color w:val="231F20"/>
          <w:lang w:eastAsia="en-AU"/>
        </w:rPr>
        <w:br/>
      </w:r>
      <w:r w:rsidRPr="005C41F5">
        <w:rPr>
          <w:rFonts w:ascii="Garamond" w:eastAsia="Times New Roman" w:hAnsi="Garamond" w:cs="Times New Roman"/>
          <w:color w:val="231F20"/>
          <w:lang w:eastAsia="en-AU"/>
        </w:rPr>
        <w:t>•  Paying or reimbursing expenses incurred in obtaining something covered by the above points.</w:t>
      </w:r>
    </w:p>
    <w:p w14:paraId="4D0CF6D8" w14:textId="77777777" w:rsidR="005C41F5" w:rsidRDefault="005C41F5" w:rsidP="005C41F5">
      <w:pPr>
        <w:jc w:val="left"/>
        <w:rPr>
          <w:rFonts w:ascii="Garamond" w:eastAsia="Times New Roman" w:hAnsi="Garamond" w:cs="Times New Roman"/>
          <w:color w:val="231F20"/>
          <w:lang w:eastAsia="en-AU"/>
        </w:rPr>
        <w:sectPr w:rsidR="005C41F5" w:rsidSect="00356C13">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space="720"/>
          <w:docGrid w:linePitch="360"/>
        </w:sectPr>
      </w:pPr>
    </w:p>
    <w:p w14:paraId="7B606D20" w14:textId="77777777" w:rsidR="00AC77B5" w:rsidRDefault="00AC77B5" w:rsidP="005C41F5">
      <w:pPr>
        <w:jc w:val="left"/>
        <w:rPr>
          <w:rFonts w:ascii="Garamond" w:eastAsia="Times New Roman" w:hAnsi="Garamond" w:cs="Times New Roman"/>
          <w:color w:val="231F20"/>
          <w:lang w:eastAsia="en-AU"/>
        </w:rPr>
      </w:pPr>
    </w:p>
    <w:p w14:paraId="0C8FA813" w14:textId="08CEAA1A" w:rsidR="005C41F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What is recreation? Recreation includes amusement, sport and similar leisure time activities, for example, a game of golf, theatre or movie tickets, a joy-flight or a harbour cruise.</w:t>
      </w:r>
    </w:p>
    <w:p w14:paraId="04D48276" w14:textId="77777777" w:rsidR="005C41F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Having identified whether or not your gift is entertainment, you then need to consider the value of the gift.</w:t>
      </w:r>
    </w:p>
    <w:p w14:paraId="269495D9" w14:textId="77777777" w:rsidR="005C41F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 xml:space="preserve">Let’s start with a gift that is NOT considered to be entertainment… </w:t>
      </w:r>
    </w:p>
    <w:p w14:paraId="5583E22A" w14:textId="77777777" w:rsidR="00AC77B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 xml:space="preserve">Non-entertainment gifts to staff (such as Christmas hampers, bottles of alcohol, gift vouchers, pen sets etc.), are tax deductible and you can claim GST credits, irrespective of cost. Note however that you can generally avoid </w:t>
      </w:r>
    </w:p>
    <w:p w14:paraId="0A5DCC16" w14:textId="77777777" w:rsidR="00AC77B5" w:rsidRDefault="00AC77B5" w:rsidP="005C41F5">
      <w:pPr>
        <w:jc w:val="left"/>
        <w:rPr>
          <w:rFonts w:ascii="Garamond" w:eastAsia="Times New Roman" w:hAnsi="Garamond" w:cs="Times New Roman"/>
          <w:color w:val="231F20"/>
          <w:lang w:eastAsia="en-AU"/>
        </w:rPr>
      </w:pPr>
    </w:p>
    <w:p w14:paraId="59C7AEA0" w14:textId="785FB2DD" w:rsidR="005C41F5"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 xml:space="preserve">paying FBT if you keep the gift under $300. If this threshold is exceeded, FBT will apply. Therefore, be conscious of this threshold when providing such gifts to staff this Christmas. </w:t>
      </w:r>
    </w:p>
    <w:p w14:paraId="4636F0E6" w14:textId="2A0AE632" w:rsidR="00356C13" w:rsidRDefault="005C41F5" w:rsidP="005C41F5">
      <w:pPr>
        <w:jc w:val="left"/>
        <w:rPr>
          <w:rFonts w:ascii="Garamond" w:eastAsia="Times New Roman" w:hAnsi="Garamond" w:cs="Times New Roman"/>
          <w:color w:val="231F20"/>
          <w:lang w:eastAsia="en-AU"/>
        </w:rPr>
      </w:pPr>
      <w:r w:rsidRPr="005C41F5">
        <w:rPr>
          <w:rFonts w:ascii="Garamond" w:eastAsia="Times New Roman" w:hAnsi="Garamond" w:cs="Times New Roman"/>
          <w:color w:val="231F20"/>
          <w:lang w:eastAsia="en-AU"/>
        </w:rPr>
        <w:t>On the other hand, entertainment gifts to staff (such as tickets to movies/theatre/amusement park/sporting events, holiday airline tickets etc.) which are under $300 will not attract FBT, are not income tax deductible, and you can not claim GST credits. If over $300, FBT will apply, but a tax deduction and GST credits can be claimed. With FBT rate at 47%, the tax deduction and GST credits available is unlikely to provide a better tax outcome than avoiding FBT by keeping the gift under $300</w:t>
      </w:r>
      <w:r w:rsidR="00AC77B5">
        <w:rPr>
          <w:rFonts w:ascii="Garamond" w:eastAsia="Times New Roman" w:hAnsi="Garamond" w:cs="Times New Roman"/>
          <w:color w:val="231F20"/>
          <w:lang w:eastAsia="en-AU"/>
        </w:rPr>
        <w:t>.</w:t>
      </w:r>
    </w:p>
    <w:p w14:paraId="7F2DDDFB" w14:textId="1DA9F3E0" w:rsidR="00AC77B5" w:rsidRDefault="00AC77B5" w:rsidP="005C41F5">
      <w:pPr>
        <w:jc w:val="left"/>
        <w:rPr>
          <w:rFonts w:ascii="Garamond" w:hAnsi="Garamond"/>
          <w:b/>
        </w:rPr>
      </w:pPr>
    </w:p>
    <w:p w14:paraId="4A3C4659" w14:textId="77777777" w:rsidR="00AC77B5" w:rsidRDefault="00AC77B5" w:rsidP="005C41F5">
      <w:pPr>
        <w:jc w:val="left"/>
        <w:rPr>
          <w:rFonts w:ascii="Garamond" w:hAnsi="Garamond"/>
          <w:b/>
        </w:rPr>
        <w:sectPr w:rsidR="00AC77B5" w:rsidSect="005C41F5">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num="2" w:space="709"/>
          <w:docGrid w:linePitch="360"/>
        </w:sectPr>
      </w:pPr>
    </w:p>
    <w:p w14:paraId="1BFD9E6F" w14:textId="5E237353" w:rsidR="00AC77B5" w:rsidRDefault="00AC77B5" w:rsidP="00AC77B5">
      <w:pPr>
        <w:jc w:val="center"/>
        <w:rPr>
          <w:rFonts w:ascii="Garamond" w:hAnsi="Garamond"/>
          <w:b/>
          <w:sz w:val="24"/>
          <w:szCs w:val="24"/>
        </w:rPr>
      </w:pPr>
      <w:r w:rsidRPr="00AC77B5">
        <w:rPr>
          <w:rFonts w:ascii="Garamond" w:hAnsi="Garamond"/>
          <w:b/>
          <w:sz w:val="24"/>
          <w:szCs w:val="24"/>
        </w:rPr>
        <w:lastRenderedPageBreak/>
        <w:t>GIFTS TO CLIENTS/CONTRACTORS/SUPPLIERS/CUSTOMERS</w:t>
      </w:r>
    </w:p>
    <w:p w14:paraId="733F0F45" w14:textId="110C2407" w:rsidR="00AC77B5" w:rsidRDefault="00AC77B5" w:rsidP="00AC77B5">
      <w:pPr>
        <w:jc w:val="center"/>
        <w:rPr>
          <w:rFonts w:ascii="Garamond" w:hAnsi="Garamond"/>
          <w:b/>
          <w:sz w:val="24"/>
          <w:szCs w:val="24"/>
        </w:rPr>
      </w:pPr>
      <w:r w:rsidRPr="00AC77B5">
        <w:rPr>
          <w:b/>
          <w:noProof/>
          <w:sz w:val="24"/>
          <w:szCs w:val="24"/>
        </w:rPr>
        <w:drawing>
          <wp:anchor distT="0" distB="0" distL="114300" distR="114300" simplePos="0" relativeHeight="251666432" behindDoc="0" locked="0" layoutInCell="1" allowOverlap="1" wp14:anchorId="428570EC" wp14:editId="61885DF6">
            <wp:simplePos x="0" y="0"/>
            <wp:positionH relativeFrom="column">
              <wp:posOffset>499745</wp:posOffset>
            </wp:positionH>
            <wp:positionV relativeFrom="paragraph">
              <wp:posOffset>115474</wp:posOffset>
            </wp:positionV>
            <wp:extent cx="5114925" cy="2872105"/>
            <wp:effectExtent l="0" t="0" r="9525" b="4445"/>
            <wp:wrapThrough wrapText="bothSides">
              <wp:wrapPolygon edited="0">
                <wp:start x="0" y="0"/>
                <wp:lineTo x="0" y="21490"/>
                <wp:lineTo x="21560" y="21490"/>
                <wp:lineTo x="2156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114925" cy="2872105"/>
                    </a:xfrm>
                    <a:prstGeom prst="rect">
                      <a:avLst/>
                    </a:prstGeom>
                  </pic:spPr>
                </pic:pic>
              </a:graphicData>
            </a:graphic>
            <wp14:sizeRelH relativeFrom="margin">
              <wp14:pctWidth>0</wp14:pctWidth>
            </wp14:sizeRelH>
            <wp14:sizeRelV relativeFrom="margin">
              <wp14:pctHeight>0</wp14:pctHeight>
            </wp14:sizeRelV>
          </wp:anchor>
        </w:drawing>
      </w:r>
    </w:p>
    <w:p w14:paraId="2602FFF4" w14:textId="5C21ECBC" w:rsidR="00AC77B5" w:rsidRDefault="00AC77B5" w:rsidP="00AC77B5">
      <w:pPr>
        <w:jc w:val="center"/>
        <w:rPr>
          <w:rFonts w:ascii="Garamond" w:hAnsi="Garamond"/>
          <w:b/>
          <w:sz w:val="24"/>
          <w:szCs w:val="24"/>
        </w:rPr>
      </w:pPr>
    </w:p>
    <w:p w14:paraId="1C83D1E0" w14:textId="08172F3B" w:rsidR="00AC77B5" w:rsidRDefault="00AC77B5" w:rsidP="00AC77B5">
      <w:pPr>
        <w:jc w:val="center"/>
        <w:rPr>
          <w:rFonts w:ascii="Garamond" w:hAnsi="Garamond"/>
          <w:b/>
          <w:sz w:val="24"/>
          <w:szCs w:val="24"/>
        </w:rPr>
      </w:pPr>
    </w:p>
    <w:p w14:paraId="7C7BAE64" w14:textId="2FDE28DE" w:rsidR="00AC77B5" w:rsidRDefault="00AC77B5" w:rsidP="00AC77B5">
      <w:pPr>
        <w:jc w:val="center"/>
        <w:rPr>
          <w:rFonts w:ascii="Garamond" w:hAnsi="Garamond"/>
          <w:b/>
          <w:sz w:val="24"/>
          <w:szCs w:val="24"/>
        </w:rPr>
      </w:pPr>
    </w:p>
    <w:p w14:paraId="78D28DE8" w14:textId="409B0580" w:rsidR="00AC77B5" w:rsidRDefault="00AC77B5" w:rsidP="00AC77B5">
      <w:pPr>
        <w:jc w:val="center"/>
        <w:rPr>
          <w:rFonts w:ascii="Garamond" w:hAnsi="Garamond"/>
          <w:b/>
          <w:sz w:val="24"/>
          <w:szCs w:val="24"/>
        </w:rPr>
      </w:pPr>
    </w:p>
    <w:p w14:paraId="162EE209" w14:textId="1FA22147" w:rsidR="00AC77B5" w:rsidRDefault="00AC77B5" w:rsidP="00AC77B5">
      <w:pPr>
        <w:jc w:val="center"/>
        <w:rPr>
          <w:rFonts w:ascii="Garamond" w:hAnsi="Garamond"/>
          <w:b/>
          <w:sz w:val="24"/>
          <w:szCs w:val="24"/>
        </w:rPr>
      </w:pPr>
    </w:p>
    <w:p w14:paraId="29E36880" w14:textId="142CC9D3" w:rsidR="00AC77B5" w:rsidRDefault="00AC77B5" w:rsidP="00AC77B5">
      <w:pPr>
        <w:jc w:val="center"/>
        <w:rPr>
          <w:rFonts w:ascii="Garamond" w:hAnsi="Garamond"/>
          <w:b/>
          <w:sz w:val="24"/>
          <w:szCs w:val="24"/>
        </w:rPr>
      </w:pPr>
    </w:p>
    <w:p w14:paraId="15475688" w14:textId="6CCF5FB1" w:rsidR="00AC77B5" w:rsidRDefault="00AC77B5" w:rsidP="00AC77B5">
      <w:pPr>
        <w:jc w:val="center"/>
        <w:rPr>
          <w:rFonts w:ascii="Garamond" w:hAnsi="Garamond"/>
          <w:b/>
          <w:sz w:val="24"/>
          <w:szCs w:val="24"/>
        </w:rPr>
      </w:pPr>
    </w:p>
    <w:p w14:paraId="6A9703A8" w14:textId="3E7435B3" w:rsidR="00AC77B5" w:rsidRDefault="00AC77B5" w:rsidP="00AC77B5">
      <w:pPr>
        <w:jc w:val="center"/>
        <w:rPr>
          <w:rFonts w:ascii="Garamond" w:hAnsi="Garamond"/>
          <w:b/>
          <w:sz w:val="24"/>
          <w:szCs w:val="24"/>
        </w:rPr>
      </w:pPr>
    </w:p>
    <w:p w14:paraId="0B3CDC90" w14:textId="38E62D32" w:rsidR="00AC77B5" w:rsidRDefault="00AC77B5" w:rsidP="00AC77B5">
      <w:pPr>
        <w:jc w:val="center"/>
        <w:rPr>
          <w:rFonts w:ascii="Garamond" w:hAnsi="Garamond"/>
          <w:b/>
          <w:sz w:val="24"/>
          <w:szCs w:val="24"/>
        </w:rPr>
      </w:pPr>
    </w:p>
    <w:p w14:paraId="7160A96F" w14:textId="2450F219" w:rsidR="00AC77B5" w:rsidRDefault="00AC77B5" w:rsidP="00AC77B5">
      <w:pPr>
        <w:jc w:val="center"/>
        <w:rPr>
          <w:rFonts w:ascii="Garamond" w:hAnsi="Garamond"/>
          <w:b/>
          <w:sz w:val="24"/>
          <w:szCs w:val="24"/>
        </w:rPr>
      </w:pPr>
    </w:p>
    <w:p w14:paraId="2D905B12" w14:textId="77777777" w:rsidR="00AC77B5" w:rsidRDefault="00AC77B5" w:rsidP="00AC77B5">
      <w:pPr>
        <w:jc w:val="left"/>
        <w:rPr>
          <w:rFonts w:ascii="Garamond" w:hAnsi="Garamond"/>
          <w:b/>
          <w:sz w:val="24"/>
          <w:szCs w:val="24"/>
        </w:rPr>
        <w:sectPr w:rsidR="00AC77B5" w:rsidSect="00AC77B5">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space="709"/>
          <w:docGrid w:linePitch="360"/>
        </w:sectPr>
      </w:pPr>
    </w:p>
    <w:p w14:paraId="4A23C731"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No FBT is payable, irrespective of the type of gift and irrespective of cost. However, where a </w:t>
      </w:r>
    </w:p>
    <w:p w14:paraId="37A92E84" w14:textId="45224AF1"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gift constitutes entertainment, no GST or tax deduction can be claimed. Thus, at least from a tax standpoint, it’s better to provide non-entertainment gifts to clients (Christmas hampers, bottles of alcohol, gift vouchers, pen sets) and, in doing so, enjoy a tax deduction and GST credits. </w:t>
      </w:r>
    </w:p>
    <w:p w14:paraId="706A492E"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FFFFFF"/>
          <w:lang w:eastAsia="en-AU"/>
        </w:rPr>
      </w:pPr>
      <w:r w:rsidRPr="00AC77B5">
        <w:rPr>
          <w:rFonts w:ascii="Garamond" w:eastAsia="Times New Roman" w:hAnsi="Garamond" w:cs="Times New Roman"/>
          <w:color w:val="FFFFFF"/>
          <w:lang w:eastAsia="en-AU"/>
        </w:rPr>
        <w:t>CHRISTMAS PARTIES</w:t>
      </w:r>
    </w:p>
    <w:p w14:paraId="13F6B1A9" w14:textId="4FA1E7A0"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Instead of gifts, it’s quite common for employers to host a Christmas Party for their staff (often including spouses) at a restaurant. </w:t>
      </w:r>
    </w:p>
    <w:p w14:paraId="7A0A52E5"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 </w:t>
      </w:r>
    </w:p>
    <w:p w14:paraId="24CCF702" w14:textId="77777777"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 xml:space="preserve">Where this is the case, the total cost will generally be exempt from FBT provided the per-head cost (dinner and drinks) is kept to under $300 per person. This is known as the Minor Benefits Exemption. To enjoy this exemption the employer must use the Actual Method for valuing FBT meal entertainment. The Actual Method is the default method for valuing meal entertainment, and no formal ATO election is required to use this method. Under the Actual Method, an employer pays FBT (in the absence of an exemption) on all taxable meal entertainment provided to employees and their associates such as spouses (entertainment provided to other parties such as clients, contractors, or suppliers is exempt from FBT). </w:t>
      </w:r>
    </w:p>
    <w:p w14:paraId="60BFA167" w14:textId="77777777"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p>
    <w:p w14:paraId="3657A5B8" w14:textId="77777777"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p>
    <w:p w14:paraId="71D0A7A4" w14:textId="77777777"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p>
    <w:p w14:paraId="16A760C1" w14:textId="5B7D5271"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 xml:space="preserve">The downside of using the Minor Benefit </w:t>
      </w:r>
    </w:p>
    <w:p w14:paraId="53B56BF1" w14:textId="1D9F55EF"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Exemption is that the meal entertainment is not tax deductible, and nor can you claim</w:t>
      </w:r>
      <w:r w:rsidR="002C1658">
        <w:rPr>
          <w:rFonts w:ascii="Garamond" w:eastAsia="Times New Roman" w:hAnsi="Garamond" w:cs="Times New Roman"/>
          <w:color w:val="231F20"/>
          <w:lang w:eastAsia="en-AU"/>
        </w:rPr>
        <w:t xml:space="preserve"> a </w:t>
      </w:r>
      <w:r w:rsidRPr="00AC77B5">
        <w:rPr>
          <w:rFonts w:ascii="Garamond" w:eastAsia="Times New Roman" w:hAnsi="Garamond" w:cs="Times New Roman"/>
          <w:color w:val="231F20"/>
          <w:lang w:eastAsia="en-AU"/>
        </w:rPr>
        <w:t>GST</w:t>
      </w:r>
      <w:r w:rsidR="002C1658">
        <w:rPr>
          <w:rFonts w:ascii="Garamond" w:eastAsia="Times New Roman" w:hAnsi="Garamond" w:cs="Times New Roman"/>
          <w:color w:val="231F20"/>
          <w:lang w:eastAsia="en-AU"/>
        </w:rPr>
        <w:t xml:space="preserve"> </w:t>
      </w:r>
      <w:r w:rsidRPr="00AC77B5">
        <w:rPr>
          <w:rFonts w:ascii="Garamond" w:eastAsia="Times New Roman" w:hAnsi="Garamond" w:cs="Times New Roman"/>
          <w:color w:val="231F20"/>
          <w:lang w:eastAsia="en-AU"/>
        </w:rPr>
        <w:t>credit.</w:t>
      </w:r>
    </w:p>
    <w:p w14:paraId="59FDE590"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p>
    <w:p w14:paraId="71FAE0BA"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This Minor Benefit Exemption is not available if you elect to value your meal entertainment </w:t>
      </w:r>
    </w:p>
    <w:p w14:paraId="408C3A27"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under the alternative 50/50 Method. Under this method, you pay FBT on only 50% of all </w:t>
      </w:r>
    </w:p>
    <w:p w14:paraId="3320C789" w14:textId="7C5CBA33"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taxable meal entertainment provided to employees, spouses AND third-parties such as clients/contractors/customers etc. irrespective of the cost. Likewise, you can only claim a 50% </w:t>
      </w:r>
    </w:p>
    <w:p w14:paraId="0B93AB43"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income tax deduction and 50% GST credits on such meal entertainment. However as stated </w:t>
      </w:r>
    </w:p>
    <w:p w14:paraId="3B1DF0AC"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earlier, with the FBT rate at 47%, the 50% tax deduction and 50% GST credits available under </w:t>
      </w:r>
    </w:p>
    <w:p w14:paraId="06A6CD55"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the 50/50 Method is unlikely to provide a better after-tax result than the Actual Method where </w:t>
      </w:r>
    </w:p>
    <w:p w14:paraId="481FD6FF" w14:textId="0C601E28" w:rsid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no FBT is payable. </w:t>
      </w:r>
    </w:p>
    <w:p w14:paraId="5E71A019" w14:textId="77777777"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p>
    <w:p w14:paraId="62375196" w14:textId="6CBC42AD" w:rsidR="00AC77B5" w:rsidRPr="00AC77B5" w:rsidRDefault="00AC77B5" w:rsidP="00AC77B5">
      <w:pPr>
        <w:shd w:val="clear" w:color="auto" w:fill="FFFFFF"/>
        <w:spacing w:after="0" w:line="240" w:lineRule="auto"/>
        <w:jc w:val="left"/>
        <w:rPr>
          <w:rFonts w:ascii="Garamond" w:eastAsia="Times New Roman" w:hAnsi="Garamond" w:cs="Times New Roman"/>
          <w:color w:val="231F20"/>
          <w:lang w:eastAsia="en-AU"/>
        </w:rPr>
      </w:pPr>
      <w:r w:rsidRPr="00AC77B5">
        <w:rPr>
          <w:rFonts w:ascii="Garamond" w:eastAsia="Times New Roman" w:hAnsi="Garamond" w:cs="Times New Roman"/>
          <w:color w:val="231F20"/>
          <w:lang w:eastAsia="en-AU"/>
        </w:rPr>
        <w:t>The “take-home message” is that if like many employers the only social functions you host for employees during the year are a Christmas Party (and perhaps the Melbourne Cup), be conscious of keeping the per-head cost under $300. By doing so, you may be able to exempt the entire cost of the party from FBT</w:t>
      </w:r>
      <w:r>
        <w:rPr>
          <w:rFonts w:ascii="Garamond" w:eastAsia="Times New Roman" w:hAnsi="Garamond" w:cs="Times New Roman"/>
          <w:color w:val="231F20"/>
          <w:lang w:eastAsia="en-AU"/>
        </w:rPr>
        <w:t>.</w:t>
      </w:r>
    </w:p>
    <w:p w14:paraId="50647CC7" w14:textId="57FA04A0" w:rsidR="00AC77B5" w:rsidRPr="00AC77B5" w:rsidRDefault="00AC77B5" w:rsidP="00AC77B5">
      <w:pPr>
        <w:jc w:val="left"/>
        <w:rPr>
          <w:rFonts w:ascii="Garamond" w:hAnsi="Garamond"/>
          <w:b/>
          <w:sz w:val="24"/>
          <w:szCs w:val="24"/>
        </w:rPr>
      </w:pPr>
    </w:p>
    <w:sectPr w:rsidR="00AC77B5" w:rsidRPr="00AC77B5" w:rsidSect="00AC77B5">
      <w:type w:val="continuous"/>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EFFA0" w14:textId="77777777" w:rsidR="00A17D09" w:rsidRDefault="00A17D09" w:rsidP="00F42A1F">
      <w:pPr>
        <w:spacing w:after="0" w:line="240" w:lineRule="auto"/>
      </w:pPr>
      <w:r>
        <w:separator/>
      </w:r>
    </w:p>
  </w:endnote>
  <w:endnote w:type="continuationSeparator" w:id="0">
    <w:p w14:paraId="34B480C8" w14:textId="77777777" w:rsidR="00A17D09" w:rsidRDefault="00A17D09" w:rsidP="00F4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BFCC" w14:textId="463E3D9A" w:rsidR="00A17D09" w:rsidRPr="00034CDD" w:rsidRDefault="00E16D9D" w:rsidP="00333855">
    <w:pPr>
      <w:pStyle w:val="Footer"/>
      <w:tabs>
        <w:tab w:val="clear" w:pos="4513"/>
      </w:tabs>
      <w:rPr>
        <w:sz w:val="16"/>
      </w:rPr>
    </w:pPr>
    <w:hyperlink r:id="rId1" w:history="1">
      <w:r w:rsidR="00A17D09" w:rsidRPr="00034CDD">
        <w:rPr>
          <w:rStyle w:val="Hyperlink"/>
          <w:color w:val="auto"/>
          <w:sz w:val="16"/>
          <w:u w:val="none"/>
        </w:rPr>
        <w:t>www.smeba.com.au</w:t>
      </w:r>
    </w:hyperlink>
    <w:r w:rsidR="00A17D09" w:rsidRPr="00034CDD">
      <w:rPr>
        <w:sz w:val="16"/>
      </w:rPr>
      <w:t xml:space="preserve"> | </w:t>
    </w:r>
    <w:hyperlink r:id="rId2" w:history="1">
      <w:r w:rsidR="00A17D09" w:rsidRPr="00034CDD">
        <w:rPr>
          <w:rStyle w:val="Hyperlink"/>
          <w:color w:val="auto"/>
          <w:sz w:val="16"/>
          <w:u w:val="none"/>
        </w:rPr>
        <w:t>stuart@smeba.com.au</w:t>
      </w:r>
    </w:hyperlink>
    <w:r w:rsidR="00A17D09" w:rsidRPr="00034CDD">
      <w:rPr>
        <w:sz w:val="16"/>
      </w:rPr>
      <w:t xml:space="preserve"> | 02 94112644</w:t>
    </w:r>
    <w:r w:rsidR="00A17D09">
      <w:rPr>
        <w:sz w:val="16"/>
      </w:rPr>
      <w:tab/>
    </w:r>
    <w:r>
      <w:rPr>
        <w:sz w:val="16"/>
      </w:rPr>
      <w:t>Nov</w:t>
    </w:r>
    <w:r w:rsidR="00B616C4">
      <w:rPr>
        <w:sz w:val="16"/>
      </w:rPr>
      <w:t xml:space="preserve"> 2018</w:t>
    </w:r>
    <w:r w:rsidR="00A17D09">
      <w:rPr>
        <w:sz w:val="16"/>
      </w:rPr>
      <w:t xml:space="preserve"> | SME Business Accountants | </w:t>
    </w:r>
    <w:r w:rsidR="00A47491" w:rsidRPr="00785411">
      <w:rPr>
        <w:sz w:val="16"/>
      </w:rPr>
      <w:fldChar w:fldCharType="begin"/>
    </w:r>
    <w:r w:rsidR="00A17D09" w:rsidRPr="00785411">
      <w:rPr>
        <w:sz w:val="16"/>
      </w:rPr>
      <w:instrText xml:space="preserve"> PAGE   \* MERGEFORMAT </w:instrText>
    </w:r>
    <w:r w:rsidR="00A47491" w:rsidRPr="00785411">
      <w:rPr>
        <w:sz w:val="16"/>
      </w:rPr>
      <w:fldChar w:fldCharType="separate"/>
    </w:r>
    <w:r w:rsidR="00D76FDB">
      <w:rPr>
        <w:noProof/>
        <w:sz w:val="16"/>
      </w:rPr>
      <w:t>5</w:t>
    </w:r>
    <w:r w:rsidR="00A47491" w:rsidRPr="00785411">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498F7" w14:textId="77777777" w:rsidR="00A17D09" w:rsidRDefault="00A17D09" w:rsidP="00F42A1F">
      <w:pPr>
        <w:spacing w:after="0" w:line="240" w:lineRule="auto"/>
      </w:pPr>
      <w:r>
        <w:separator/>
      </w:r>
    </w:p>
  </w:footnote>
  <w:footnote w:type="continuationSeparator" w:id="0">
    <w:p w14:paraId="10008064" w14:textId="77777777" w:rsidR="00A17D09" w:rsidRDefault="00A17D09" w:rsidP="00F4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4E"/>
    <w:multiLevelType w:val="hybridMultilevel"/>
    <w:tmpl w:val="4454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416FF"/>
    <w:multiLevelType w:val="hybridMultilevel"/>
    <w:tmpl w:val="EFAE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A6681"/>
    <w:multiLevelType w:val="hybridMultilevel"/>
    <w:tmpl w:val="7FD8F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E73D3"/>
    <w:multiLevelType w:val="hybridMultilevel"/>
    <w:tmpl w:val="7DC6A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221A38"/>
    <w:multiLevelType w:val="hybridMultilevel"/>
    <w:tmpl w:val="8AECF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1481"/>
    <w:multiLevelType w:val="hybridMultilevel"/>
    <w:tmpl w:val="8E42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26707"/>
    <w:multiLevelType w:val="hybridMultilevel"/>
    <w:tmpl w:val="8FA63AC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10A41E0A"/>
    <w:multiLevelType w:val="hybridMultilevel"/>
    <w:tmpl w:val="199A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55AED"/>
    <w:multiLevelType w:val="hybridMultilevel"/>
    <w:tmpl w:val="E482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533A3"/>
    <w:multiLevelType w:val="hybridMultilevel"/>
    <w:tmpl w:val="7AFC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174DB"/>
    <w:multiLevelType w:val="hybridMultilevel"/>
    <w:tmpl w:val="861EA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8674C6"/>
    <w:multiLevelType w:val="hybridMultilevel"/>
    <w:tmpl w:val="52C6E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B0B8E"/>
    <w:multiLevelType w:val="hybridMultilevel"/>
    <w:tmpl w:val="03A8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8792D"/>
    <w:multiLevelType w:val="hybridMultilevel"/>
    <w:tmpl w:val="F4667488"/>
    <w:lvl w:ilvl="0" w:tplc="AC024BFE">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86CCC"/>
    <w:multiLevelType w:val="hybridMultilevel"/>
    <w:tmpl w:val="32CE8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D7262A"/>
    <w:multiLevelType w:val="hybridMultilevel"/>
    <w:tmpl w:val="C09A8808"/>
    <w:lvl w:ilvl="0" w:tplc="AC024BFE">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B03454"/>
    <w:multiLevelType w:val="multilevel"/>
    <w:tmpl w:val="6A92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F247A"/>
    <w:multiLevelType w:val="hybridMultilevel"/>
    <w:tmpl w:val="2004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2B45C1"/>
    <w:multiLevelType w:val="hybridMultilevel"/>
    <w:tmpl w:val="88BA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DB67B1"/>
    <w:multiLevelType w:val="hybridMultilevel"/>
    <w:tmpl w:val="7C68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956D9"/>
    <w:multiLevelType w:val="hybridMultilevel"/>
    <w:tmpl w:val="EB34E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A978F9"/>
    <w:multiLevelType w:val="hybridMultilevel"/>
    <w:tmpl w:val="7C20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F2497"/>
    <w:multiLevelType w:val="multilevel"/>
    <w:tmpl w:val="EB4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95AF5"/>
    <w:multiLevelType w:val="hybridMultilevel"/>
    <w:tmpl w:val="7C60F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20FF0"/>
    <w:multiLevelType w:val="hybridMultilevel"/>
    <w:tmpl w:val="1B1C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987B1E"/>
    <w:multiLevelType w:val="hybridMultilevel"/>
    <w:tmpl w:val="EA7E742E"/>
    <w:lvl w:ilvl="0" w:tplc="AC024BFE">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43605C"/>
    <w:multiLevelType w:val="hybridMultilevel"/>
    <w:tmpl w:val="F93E7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1D1E52"/>
    <w:multiLevelType w:val="multilevel"/>
    <w:tmpl w:val="E76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D2FE8"/>
    <w:multiLevelType w:val="hybridMultilevel"/>
    <w:tmpl w:val="DCEC0524"/>
    <w:lvl w:ilvl="0" w:tplc="AC024BFE">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D107A5"/>
    <w:multiLevelType w:val="hybridMultilevel"/>
    <w:tmpl w:val="F5847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9E6A4F"/>
    <w:multiLevelType w:val="multilevel"/>
    <w:tmpl w:val="37A4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601A7"/>
    <w:multiLevelType w:val="hybridMultilevel"/>
    <w:tmpl w:val="4A983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E16E3"/>
    <w:multiLevelType w:val="hybridMultilevel"/>
    <w:tmpl w:val="68FAD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DB101B"/>
    <w:multiLevelType w:val="hybridMultilevel"/>
    <w:tmpl w:val="39784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04975"/>
    <w:multiLevelType w:val="hybridMultilevel"/>
    <w:tmpl w:val="BE58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341469"/>
    <w:multiLevelType w:val="hybridMultilevel"/>
    <w:tmpl w:val="5820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347A1E"/>
    <w:multiLevelType w:val="hybridMultilevel"/>
    <w:tmpl w:val="30F6B434"/>
    <w:lvl w:ilvl="0" w:tplc="AC024BFE">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682505"/>
    <w:multiLevelType w:val="hybridMultilevel"/>
    <w:tmpl w:val="B56EE6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CBD6076"/>
    <w:multiLevelType w:val="hybridMultilevel"/>
    <w:tmpl w:val="D0C8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53C72"/>
    <w:multiLevelType w:val="hybridMultilevel"/>
    <w:tmpl w:val="5456C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394C38"/>
    <w:multiLevelType w:val="hybridMultilevel"/>
    <w:tmpl w:val="6D54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516B97"/>
    <w:multiLevelType w:val="hybridMultilevel"/>
    <w:tmpl w:val="B494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33ABB"/>
    <w:multiLevelType w:val="hybridMultilevel"/>
    <w:tmpl w:val="9988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B475D4"/>
    <w:multiLevelType w:val="hybridMultilevel"/>
    <w:tmpl w:val="554A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93FD9"/>
    <w:multiLevelType w:val="hybridMultilevel"/>
    <w:tmpl w:val="8172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19"/>
  </w:num>
  <w:num w:numId="4">
    <w:abstractNumId w:val="6"/>
  </w:num>
  <w:num w:numId="5">
    <w:abstractNumId w:val="21"/>
  </w:num>
  <w:num w:numId="6">
    <w:abstractNumId w:val="24"/>
  </w:num>
  <w:num w:numId="7">
    <w:abstractNumId w:val="40"/>
  </w:num>
  <w:num w:numId="8">
    <w:abstractNumId w:val="4"/>
  </w:num>
  <w:num w:numId="9">
    <w:abstractNumId w:val="37"/>
  </w:num>
  <w:num w:numId="10">
    <w:abstractNumId w:val="28"/>
  </w:num>
  <w:num w:numId="11">
    <w:abstractNumId w:val="13"/>
  </w:num>
  <w:num w:numId="12">
    <w:abstractNumId w:val="15"/>
  </w:num>
  <w:num w:numId="13">
    <w:abstractNumId w:val="25"/>
  </w:num>
  <w:num w:numId="14">
    <w:abstractNumId w:val="36"/>
  </w:num>
  <w:num w:numId="15">
    <w:abstractNumId w:val="30"/>
  </w:num>
  <w:num w:numId="16">
    <w:abstractNumId w:val="27"/>
  </w:num>
  <w:num w:numId="17">
    <w:abstractNumId w:val="22"/>
  </w:num>
  <w:num w:numId="18">
    <w:abstractNumId w:val="23"/>
  </w:num>
  <w:num w:numId="19">
    <w:abstractNumId w:val="18"/>
  </w:num>
  <w:num w:numId="20">
    <w:abstractNumId w:val="1"/>
  </w:num>
  <w:num w:numId="21">
    <w:abstractNumId w:val="14"/>
  </w:num>
  <w:num w:numId="22">
    <w:abstractNumId w:val="32"/>
  </w:num>
  <w:num w:numId="23">
    <w:abstractNumId w:val="17"/>
  </w:num>
  <w:num w:numId="24">
    <w:abstractNumId w:val="41"/>
  </w:num>
  <w:num w:numId="25">
    <w:abstractNumId w:val="5"/>
  </w:num>
  <w:num w:numId="26">
    <w:abstractNumId w:val="29"/>
  </w:num>
  <w:num w:numId="27">
    <w:abstractNumId w:val="7"/>
  </w:num>
  <w:num w:numId="28">
    <w:abstractNumId w:val="43"/>
  </w:num>
  <w:num w:numId="29">
    <w:abstractNumId w:val="0"/>
  </w:num>
  <w:num w:numId="30">
    <w:abstractNumId w:val="33"/>
  </w:num>
  <w:num w:numId="31">
    <w:abstractNumId w:val="35"/>
  </w:num>
  <w:num w:numId="32">
    <w:abstractNumId w:val="34"/>
  </w:num>
  <w:num w:numId="33">
    <w:abstractNumId w:val="11"/>
  </w:num>
  <w:num w:numId="34">
    <w:abstractNumId w:val="16"/>
  </w:num>
  <w:num w:numId="35">
    <w:abstractNumId w:val="39"/>
  </w:num>
  <w:num w:numId="36">
    <w:abstractNumId w:val="10"/>
  </w:num>
  <w:num w:numId="37">
    <w:abstractNumId w:val="3"/>
  </w:num>
  <w:num w:numId="38">
    <w:abstractNumId w:val="9"/>
  </w:num>
  <w:num w:numId="39">
    <w:abstractNumId w:val="31"/>
  </w:num>
  <w:num w:numId="40">
    <w:abstractNumId w:val="12"/>
  </w:num>
  <w:num w:numId="41">
    <w:abstractNumId w:val="8"/>
  </w:num>
  <w:num w:numId="42">
    <w:abstractNumId w:val="2"/>
  </w:num>
  <w:num w:numId="43">
    <w:abstractNumId w:val="26"/>
  </w:num>
  <w:num w:numId="44">
    <w:abstractNumId w:val="38"/>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4449">
      <o:colormenu v:ext="edit" fillcolor="none [2412]"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39"/>
    <w:rsid w:val="000004A7"/>
    <w:rsid w:val="00000F8F"/>
    <w:rsid w:val="000012DA"/>
    <w:rsid w:val="00002BB2"/>
    <w:rsid w:val="00003893"/>
    <w:rsid w:val="00003902"/>
    <w:rsid w:val="000056D7"/>
    <w:rsid w:val="00005DD7"/>
    <w:rsid w:val="0000658E"/>
    <w:rsid w:val="00006AF9"/>
    <w:rsid w:val="00006B89"/>
    <w:rsid w:val="00010CF9"/>
    <w:rsid w:val="00011980"/>
    <w:rsid w:val="00011BB3"/>
    <w:rsid w:val="00012DDC"/>
    <w:rsid w:val="000132E7"/>
    <w:rsid w:val="00013D84"/>
    <w:rsid w:val="000165DD"/>
    <w:rsid w:val="000169B6"/>
    <w:rsid w:val="000175B7"/>
    <w:rsid w:val="00020B99"/>
    <w:rsid w:val="00021DB4"/>
    <w:rsid w:val="000221AC"/>
    <w:rsid w:val="00022984"/>
    <w:rsid w:val="0002438A"/>
    <w:rsid w:val="00024E2D"/>
    <w:rsid w:val="000266E0"/>
    <w:rsid w:val="0003073A"/>
    <w:rsid w:val="00031C5D"/>
    <w:rsid w:val="00031E4E"/>
    <w:rsid w:val="000327CD"/>
    <w:rsid w:val="00033A08"/>
    <w:rsid w:val="00033D6D"/>
    <w:rsid w:val="00034A6C"/>
    <w:rsid w:val="00034C6C"/>
    <w:rsid w:val="00034CDD"/>
    <w:rsid w:val="00036225"/>
    <w:rsid w:val="000368A0"/>
    <w:rsid w:val="00037AFE"/>
    <w:rsid w:val="00040A37"/>
    <w:rsid w:val="0004171D"/>
    <w:rsid w:val="000421CC"/>
    <w:rsid w:val="000426DE"/>
    <w:rsid w:val="000438EE"/>
    <w:rsid w:val="0005049B"/>
    <w:rsid w:val="000508B2"/>
    <w:rsid w:val="000514F2"/>
    <w:rsid w:val="0005249C"/>
    <w:rsid w:val="000528B2"/>
    <w:rsid w:val="000537B6"/>
    <w:rsid w:val="00053CC1"/>
    <w:rsid w:val="000546E5"/>
    <w:rsid w:val="00054832"/>
    <w:rsid w:val="00054E3B"/>
    <w:rsid w:val="000559C5"/>
    <w:rsid w:val="00060E35"/>
    <w:rsid w:val="00062EE6"/>
    <w:rsid w:val="00063145"/>
    <w:rsid w:val="00063FFF"/>
    <w:rsid w:val="00065924"/>
    <w:rsid w:val="00065EC2"/>
    <w:rsid w:val="0006778C"/>
    <w:rsid w:val="00067D33"/>
    <w:rsid w:val="00070163"/>
    <w:rsid w:val="00070254"/>
    <w:rsid w:val="00070FC5"/>
    <w:rsid w:val="00071364"/>
    <w:rsid w:val="00071A7D"/>
    <w:rsid w:val="00073960"/>
    <w:rsid w:val="00073B05"/>
    <w:rsid w:val="000742F9"/>
    <w:rsid w:val="00075FCE"/>
    <w:rsid w:val="00080BB4"/>
    <w:rsid w:val="00081697"/>
    <w:rsid w:val="00081814"/>
    <w:rsid w:val="000825A3"/>
    <w:rsid w:val="00083999"/>
    <w:rsid w:val="00087564"/>
    <w:rsid w:val="00091278"/>
    <w:rsid w:val="00094D63"/>
    <w:rsid w:val="00095B8C"/>
    <w:rsid w:val="000966EA"/>
    <w:rsid w:val="00096B16"/>
    <w:rsid w:val="00096F7A"/>
    <w:rsid w:val="000A010E"/>
    <w:rsid w:val="000A0FCA"/>
    <w:rsid w:val="000A18ED"/>
    <w:rsid w:val="000A19F4"/>
    <w:rsid w:val="000A2DC8"/>
    <w:rsid w:val="000A5A86"/>
    <w:rsid w:val="000A6742"/>
    <w:rsid w:val="000B0B79"/>
    <w:rsid w:val="000B0D80"/>
    <w:rsid w:val="000B1349"/>
    <w:rsid w:val="000B4B3A"/>
    <w:rsid w:val="000B55DB"/>
    <w:rsid w:val="000B7A32"/>
    <w:rsid w:val="000B7A71"/>
    <w:rsid w:val="000C00F0"/>
    <w:rsid w:val="000C0322"/>
    <w:rsid w:val="000C0577"/>
    <w:rsid w:val="000C0C8F"/>
    <w:rsid w:val="000C1834"/>
    <w:rsid w:val="000C29A4"/>
    <w:rsid w:val="000C3AE1"/>
    <w:rsid w:val="000C515E"/>
    <w:rsid w:val="000C51B3"/>
    <w:rsid w:val="000C548D"/>
    <w:rsid w:val="000C570B"/>
    <w:rsid w:val="000C679C"/>
    <w:rsid w:val="000D12F6"/>
    <w:rsid w:val="000D1F38"/>
    <w:rsid w:val="000D286D"/>
    <w:rsid w:val="000D48D1"/>
    <w:rsid w:val="000D6A7D"/>
    <w:rsid w:val="000D7C35"/>
    <w:rsid w:val="000E2550"/>
    <w:rsid w:val="000E29DB"/>
    <w:rsid w:val="000E5598"/>
    <w:rsid w:val="000F10CF"/>
    <w:rsid w:val="000F2D2B"/>
    <w:rsid w:val="000F4F6A"/>
    <w:rsid w:val="000F5DE5"/>
    <w:rsid w:val="000F704E"/>
    <w:rsid w:val="00102A67"/>
    <w:rsid w:val="0010464E"/>
    <w:rsid w:val="00106944"/>
    <w:rsid w:val="001070FD"/>
    <w:rsid w:val="00110DE4"/>
    <w:rsid w:val="001126E0"/>
    <w:rsid w:val="0011449A"/>
    <w:rsid w:val="0011469E"/>
    <w:rsid w:val="00115513"/>
    <w:rsid w:val="001156CC"/>
    <w:rsid w:val="0011598D"/>
    <w:rsid w:val="0011611E"/>
    <w:rsid w:val="001219FC"/>
    <w:rsid w:val="00122358"/>
    <w:rsid w:val="0012283F"/>
    <w:rsid w:val="00123507"/>
    <w:rsid w:val="001239F1"/>
    <w:rsid w:val="00124A61"/>
    <w:rsid w:val="001261DB"/>
    <w:rsid w:val="001266ED"/>
    <w:rsid w:val="00126DE2"/>
    <w:rsid w:val="001270F1"/>
    <w:rsid w:val="00131ED9"/>
    <w:rsid w:val="00132406"/>
    <w:rsid w:val="00133376"/>
    <w:rsid w:val="00134824"/>
    <w:rsid w:val="001348C7"/>
    <w:rsid w:val="00135136"/>
    <w:rsid w:val="00135C23"/>
    <w:rsid w:val="00135F92"/>
    <w:rsid w:val="00136295"/>
    <w:rsid w:val="001366DA"/>
    <w:rsid w:val="0013675A"/>
    <w:rsid w:val="00136B4C"/>
    <w:rsid w:val="00137356"/>
    <w:rsid w:val="00143D09"/>
    <w:rsid w:val="00144C0A"/>
    <w:rsid w:val="001475E0"/>
    <w:rsid w:val="00147F55"/>
    <w:rsid w:val="00150003"/>
    <w:rsid w:val="00150087"/>
    <w:rsid w:val="00152243"/>
    <w:rsid w:val="001526EB"/>
    <w:rsid w:val="00154228"/>
    <w:rsid w:val="00154E66"/>
    <w:rsid w:val="0015642A"/>
    <w:rsid w:val="00157275"/>
    <w:rsid w:val="00160491"/>
    <w:rsid w:val="00161DA7"/>
    <w:rsid w:val="00165219"/>
    <w:rsid w:val="0016637B"/>
    <w:rsid w:val="00166EF9"/>
    <w:rsid w:val="00167D9C"/>
    <w:rsid w:val="00170AD4"/>
    <w:rsid w:val="00173155"/>
    <w:rsid w:val="00173AB0"/>
    <w:rsid w:val="00175081"/>
    <w:rsid w:val="00176CC3"/>
    <w:rsid w:val="00181882"/>
    <w:rsid w:val="001820F2"/>
    <w:rsid w:val="0018237C"/>
    <w:rsid w:val="00182741"/>
    <w:rsid w:val="001838D6"/>
    <w:rsid w:val="00184879"/>
    <w:rsid w:val="00184A7F"/>
    <w:rsid w:val="00187343"/>
    <w:rsid w:val="00190C58"/>
    <w:rsid w:val="001916C3"/>
    <w:rsid w:val="00191827"/>
    <w:rsid w:val="00192455"/>
    <w:rsid w:val="0019358E"/>
    <w:rsid w:val="001936E3"/>
    <w:rsid w:val="0019411F"/>
    <w:rsid w:val="00196B55"/>
    <w:rsid w:val="0019715B"/>
    <w:rsid w:val="00197801"/>
    <w:rsid w:val="001A14D7"/>
    <w:rsid w:val="001A2A2C"/>
    <w:rsid w:val="001A2F9F"/>
    <w:rsid w:val="001A34BC"/>
    <w:rsid w:val="001A5664"/>
    <w:rsid w:val="001A622E"/>
    <w:rsid w:val="001A63A1"/>
    <w:rsid w:val="001B0836"/>
    <w:rsid w:val="001B1A17"/>
    <w:rsid w:val="001B2BA5"/>
    <w:rsid w:val="001B3FD0"/>
    <w:rsid w:val="001B473D"/>
    <w:rsid w:val="001B4894"/>
    <w:rsid w:val="001B6034"/>
    <w:rsid w:val="001B66FF"/>
    <w:rsid w:val="001B7571"/>
    <w:rsid w:val="001B7818"/>
    <w:rsid w:val="001B7AB4"/>
    <w:rsid w:val="001C0550"/>
    <w:rsid w:val="001C0FE8"/>
    <w:rsid w:val="001C5365"/>
    <w:rsid w:val="001C7803"/>
    <w:rsid w:val="001C7831"/>
    <w:rsid w:val="001D0D8C"/>
    <w:rsid w:val="001D176A"/>
    <w:rsid w:val="001D18B2"/>
    <w:rsid w:val="001D2A17"/>
    <w:rsid w:val="001D3CF7"/>
    <w:rsid w:val="001D42C4"/>
    <w:rsid w:val="001D62B5"/>
    <w:rsid w:val="001E0373"/>
    <w:rsid w:val="001E0450"/>
    <w:rsid w:val="001E52B7"/>
    <w:rsid w:val="001E5307"/>
    <w:rsid w:val="001E61E3"/>
    <w:rsid w:val="001E7592"/>
    <w:rsid w:val="001F0B37"/>
    <w:rsid w:val="001F20C4"/>
    <w:rsid w:val="001F265A"/>
    <w:rsid w:val="001F30D5"/>
    <w:rsid w:val="001F3E5E"/>
    <w:rsid w:val="001F4291"/>
    <w:rsid w:val="001F5498"/>
    <w:rsid w:val="001F5A05"/>
    <w:rsid w:val="001F64F6"/>
    <w:rsid w:val="001F682C"/>
    <w:rsid w:val="001F7CE5"/>
    <w:rsid w:val="002006DA"/>
    <w:rsid w:val="00200B4A"/>
    <w:rsid w:val="00201596"/>
    <w:rsid w:val="00201E50"/>
    <w:rsid w:val="0020321B"/>
    <w:rsid w:val="00203AA8"/>
    <w:rsid w:val="00203F0E"/>
    <w:rsid w:val="002040D6"/>
    <w:rsid w:val="002062EB"/>
    <w:rsid w:val="002062F0"/>
    <w:rsid w:val="00207DD7"/>
    <w:rsid w:val="00207F28"/>
    <w:rsid w:val="00210908"/>
    <w:rsid w:val="00211D2E"/>
    <w:rsid w:val="00212972"/>
    <w:rsid w:val="002130B8"/>
    <w:rsid w:val="00213D56"/>
    <w:rsid w:val="00214B07"/>
    <w:rsid w:val="00215055"/>
    <w:rsid w:val="002167A9"/>
    <w:rsid w:val="00216880"/>
    <w:rsid w:val="002179D3"/>
    <w:rsid w:val="00220C8B"/>
    <w:rsid w:val="002214A6"/>
    <w:rsid w:val="00222AD5"/>
    <w:rsid w:val="00222C5F"/>
    <w:rsid w:val="00223815"/>
    <w:rsid w:val="002238E9"/>
    <w:rsid w:val="00224AC0"/>
    <w:rsid w:val="002263C5"/>
    <w:rsid w:val="002267B4"/>
    <w:rsid w:val="00226B44"/>
    <w:rsid w:val="00226D80"/>
    <w:rsid w:val="00226E03"/>
    <w:rsid w:val="0023046E"/>
    <w:rsid w:val="002305F9"/>
    <w:rsid w:val="0023087D"/>
    <w:rsid w:val="00230B46"/>
    <w:rsid w:val="00230C6E"/>
    <w:rsid w:val="002321A7"/>
    <w:rsid w:val="0023313A"/>
    <w:rsid w:val="00233DF4"/>
    <w:rsid w:val="00233FC0"/>
    <w:rsid w:val="00235127"/>
    <w:rsid w:val="00236366"/>
    <w:rsid w:val="002375FF"/>
    <w:rsid w:val="00237F86"/>
    <w:rsid w:val="00241A28"/>
    <w:rsid w:val="00243DC3"/>
    <w:rsid w:val="002443AF"/>
    <w:rsid w:val="00244CC2"/>
    <w:rsid w:val="00245742"/>
    <w:rsid w:val="00246FDC"/>
    <w:rsid w:val="002472BA"/>
    <w:rsid w:val="00250918"/>
    <w:rsid w:val="00251166"/>
    <w:rsid w:val="002511C3"/>
    <w:rsid w:val="002512B2"/>
    <w:rsid w:val="00252904"/>
    <w:rsid w:val="00254442"/>
    <w:rsid w:val="002560DF"/>
    <w:rsid w:val="0025716F"/>
    <w:rsid w:val="002573E4"/>
    <w:rsid w:val="002574FB"/>
    <w:rsid w:val="00257A55"/>
    <w:rsid w:val="00257CFD"/>
    <w:rsid w:val="00261B00"/>
    <w:rsid w:val="00262039"/>
    <w:rsid w:val="00263792"/>
    <w:rsid w:val="00264C23"/>
    <w:rsid w:val="00264F3F"/>
    <w:rsid w:val="00270DF6"/>
    <w:rsid w:val="0027237A"/>
    <w:rsid w:val="00272F83"/>
    <w:rsid w:val="00273FD9"/>
    <w:rsid w:val="002740A6"/>
    <w:rsid w:val="002741B2"/>
    <w:rsid w:val="002744A7"/>
    <w:rsid w:val="0027466F"/>
    <w:rsid w:val="00274BA0"/>
    <w:rsid w:val="0027589D"/>
    <w:rsid w:val="00275EF1"/>
    <w:rsid w:val="0027696A"/>
    <w:rsid w:val="002778D7"/>
    <w:rsid w:val="00281571"/>
    <w:rsid w:val="00282037"/>
    <w:rsid w:val="002828A0"/>
    <w:rsid w:val="0028348E"/>
    <w:rsid w:val="0028369B"/>
    <w:rsid w:val="002838E8"/>
    <w:rsid w:val="002850A8"/>
    <w:rsid w:val="002900B3"/>
    <w:rsid w:val="0029027C"/>
    <w:rsid w:val="00292F70"/>
    <w:rsid w:val="00293042"/>
    <w:rsid w:val="002955BA"/>
    <w:rsid w:val="00295BCF"/>
    <w:rsid w:val="002962DB"/>
    <w:rsid w:val="00297691"/>
    <w:rsid w:val="002A211A"/>
    <w:rsid w:val="002A29A5"/>
    <w:rsid w:val="002A3A5E"/>
    <w:rsid w:val="002A404F"/>
    <w:rsid w:val="002A4077"/>
    <w:rsid w:val="002A5D20"/>
    <w:rsid w:val="002A7531"/>
    <w:rsid w:val="002A77C5"/>
    <w:rsid w:val="002B0267"/>
    <w:rsid w:val="002B2095"/>
    <w:rsid w:val="002B2AB4"/>
    <w:rsid w:val="002B58AF"/>
    <w:rsid w:val="002B5A16"/>
    <w:rsid w:val="002B610C"/>
    <w:rsid w:val="002B64DF"/>
    <w:rsid w:val="002B6853"/>
    <w:rsid w:val="002B6963"/>
    <w:rsid w:val="002B715C"/>
    <w:rsid w:val="002B71C9"/>
    <w:rsid w:val="002B7680"/>
    <w:rsid w:val="002C1658"/>
    <w:rsid w:val="002C2017"/>
    <w:rsid w:val="002C25EF"/>
    <w:rsid w:val="002C28E1"/>
    <w:rsid w:val="002C2DF8"/>
    <w:rsid w:val="002C38E4"/>
    <w:rsid w:val="002C4484"/>
    <w:rsid w:val="002C4683"/>
    <w:rsid w:val="002C46FD"/>
    <w:rsid w:val="002C678C"/>
    <w:rsid w:val="002C7B84"/>
    <w:rsid w:val="002D0D50"/>
    <w:rsid w:val="002D2CF9"/>
    <w:rsid w:val="002D3092"/>
    <w:rsid w:val="002D34A8"/>
    <w:rsid w:val="002D4119"/>
    <w:rsid w:val="002D4D9A"/>
    <w:rsid w:val="002E0842"/>
    <w:rsid w:val="002E0F4C"/>
    <w:rsid w:val="002E1720"/>
    <w:rsid w:val="002E30A9"/>
    <w:rsid w:val="002E4E26"/>
    <w:rsid w:val="002E74B4"/>
    <w:rsid w:val="002E7719"/>
    <w:rsid w:val="002E7E97"/>
    <w:rsid w:val="002F1177"/>
    <w:rsid w:val="002F1236"/>
    <w:rsid w:val="002F5646"/>
    <w:rsid w:val="002F5CD4"/>
    <w:rsid w:val="002F7737"/>
    <w:rsid w:val="002F7DF1"/>
    <w:rsid w:val="0030042A"/>
    <w:rsid w:val="00300A50"/>
    <w:rsid w:val="00300F07"/>
    <w:rsid w:val="0030171D"/>
    <w:rsid w:val="003019C3"/>
    <w:rsid w:val="00301BF8"/>
    <w:rsid w:val="00302A74"/>
    <w:rsid w:val="00304524"/>
    <w:rsid w:val="0030483D"/>
    <w:rsid w:val="003048D2"/>
    <w:rsid w:val="003057F6"/>
    <w:rsid w:val="00307B62"/>
    <w:rsid w:val="00307D39"/>
    <w:rsid w:val="00307DDA"/>
    <w:rsid w:val="00310263"/>
    <w:rsid w:val="00310505"/>
    <w:rsid w:val="003108C1"/>
    <w:rsid w:val="003110FE"/>
    <w:rsid w:val="00311F96"/>
    <w:rsid w:val="00314644"/>
    <w:rsid w:val="003150D2"/>
    <w:rsid w:val="003154BE"/>
    <w:rsid w:val="003167F6"/>
    <w:rsid w:val="00316E9F"/>
    <w:rsid w:val="003172AD"/>
    <w:rsid w:val="00320E4E"/>
    <w:rsid w:val="00321843"/>
    <w:rsid w:val="00321E21"/>
    <w:rsid w:val="00322833"/>
    <w:rsid w:val="00322B9C"/>
    <w:rsid w:val="00324FB0"/>
    <w:rsid w:val="0032545E"/>
    <w:rsid w:val="0032649E"/>
    <w:rsid w:val="00326EE2"/>
    <w:rsid w:val="0032776F"/>
    <w:rsid w:val="00327A53"/>
    <w:rsid w:val="00330ED8"/>
    <w:rsid w:val="00333855"/>
    <w:rsid w:val="00335B8A"/>
    <w:rsid w:val="00337D0B"/>
    <w:rsid w:val="003420CB"/>
    <w:rsid w:val="003430CD"/>
    <w:rsid w:val="0034458D"/>
    <w:rsid w:val="00344773"/>
    <w:rsid w:val="00344AC0"/>
    <w:rsid w:val="003474BC"/>
    <w:rsid w:val="00347AB6"/>
    <w:rsid w:val="003504B7"/>
    <w:rsid w:val="00350E62"/>
    <w:rsid w:val="00352B03"/>
    <w:rsid w:val="00353D0A"/>
    <w:rsid w:val="00353E55"/>
    <w:rsid w:val="00356C13"/>
    <w:rsid w:val="00360446"/>
    <w:rsid w:val="0036137D"/>
    <w:rsid w:val="00362CB3"/>
    <w:rsid w:val="00362DC7"/>
    <w:rsid w:val="00362E7E"/>
    <w:rsid w:val="00363A08"/>
    <w:rsid w:val="00364B7F"/>
    <w:rsid w:val="003658F4"/>
    <w:rsid w:val="003670E2"/>
    <w:rsid w:val="00370E6C"/>
    <w:rsid w:val="003715C1"/>
    <w:rsid w:val="003728B0"/>
    <w:rsid w:val="00372A91"/>
    <w:rsid w:val="0037491D"/>
    <w:rsid w:val="00375AF8"/>
    <w:rsid w:val="00377C19"/>
    <w:rsid w:val="00380523"/>
    <w:rsid w:val="00381118"/>
    <w:rsid w:val="00381858"/>
    <w:rsid w:val="00381BA5"/>
    <w:rsid w:val="0038533D"/>
    <w:rsid w:val="00385591"/>
    <w:rsid w:val="0038745C"/>
    <w:rsid w:val="00390414"/>
    <w:rsid w:val="0039060B"/>
    <w:rsid w:val="003936A0"/>
    <w:rsid w:val="00393EA3"/>
    <w:rsid w:val="00394742"/>
    <w:rsid w:val="00395678"/>
    <w:rsid w:val="003A08ED"/>
    <w:rsid w:val="003A1643"/>
    <w:rsid w:val="003A2232"/>
    <w:rsid w:val="003A3728"/>
    <w:rsid w:val="003A3B3F"/>
    <w:rsid w:val="003A46A4"/>
    <w:rsid w:val="003A582A"/>
    <w:rsid w:val="003A5A0D"/>
    <w:rsid w:val="003A7912"/>
    <w:rsid w:val="003B10BA"/>
    <w:rsid w:val="003B1C60"/>
    <w:rsid w:val="003B2BD0"/>
    <w:rsid w:val="003B2C9D"/>
    <w:rsid w:val="003B3C9D"/>
    <w:rsid w:val="003B4862"/>
    <w:rsid w:val="003B5824"/>
    <w:rsid w:val="003C136F"/>
    <w:rsid w:val="003C1F9C"/>
    <w:rsid w:val="003C2D7C"/>
    <w:rsid w:val="003C3CFC"/>
    <w:rsid w:val="003C569F"/>
    <w:rsid w:val="003C5D42"/>
    <w:rsid w:val="003C66FB"/>
    <w:rsid w:val="003C7516"/>
    <w:rsid w:val="003D0B06"/>
    <w:rsid w:val="003D325E"/>
    <w:rsid w:val="003D3DA9"/>
    <w:rsid w:val="003D42D1"/>
    <w:rsid w:val="003D4847"/>
    <w:rsid w:val="003D4E77"/>
    <w:rsid w:val="003D510C"/>
    <w:rsid w:val="003E1F43"/>
    <w:rsid w:val="003E2661"/>
    <w:rsid w:val="003E31BF"/>
    <w:rsid w:val="003E37A1"/>
    <w:rsid w:val="003E4E33"/>
    <w:rsid w:val="003E6D3C"/>
    <w:rsid w:val="003E72F8"/>
    <w:rsid w:val="003E7976"/>
    <w:rsid w:val="003F0A3A"/>
    <w:rsid w:val="003F2021"/>
    <w:rsid w:val="003F4763"/>
    <w:rsid w:val="003F49D2"/>
    <w:rsid w:val="003F5663"/>
    <w:rsid w:val="003F636F"/>
    <w:rsid w:val="004014FD"/>
    <w:rsid w:val="004018FF"/>
    <w:rsid w:val="00401C6D"/>
    <w:rsid w:val="00402491"/>
    <w:rsid w:val="0040257A"/>
    <w:rsid w:val="00402790"/>
    <w:rsid w:val="00402B3A"/>
    <w:rsid w:val="00402C35"/>
    <w:rsid w:val="0040307C"/>
    <w:rsid w:val="0040392C"/>
    <w:rsid w:val="004039D1"/>
    <w:rsid w:val="00403CE6"/>
    <w:rsid w:val="0040424B"/>
    <w:rsid w:val="00404EBF"/>
    <w:rsid w:val="00406E63"/>
    <w:rsid w:val="004073E5"/>
    <w:rsid w:val="00412713"/>
    <w:rsid w:val="00412E79"/>
    <w:rsid w:val="00412FC8"/>
    <w:rsid w:val="00413CB9"/>
    <w:rsid w:val="004142A7"/>
    <w:rsid w:val="004157FF"/>
    <w:rsid w:val="004168E6"/>
    <w:rsid w:val="00416BFE"/>
    <w:rsid w:val="0041700D"/>
    <w:rsid w:val="00417BF3"/>
    <w:rsid w:val="00421E75"/>
    <w:rsid w:val="00422750"/>
    <w:rsid w:val="004248A8"/>
    <w:rsid w:val="00426963"/>
    <w:rsid w:val="00426DD1"/>
    <w:rsid w:val="0043254E"/>
    <w:rsid w:val="00433E66"/>
    <w:rsid w:val="00435062"/>
    <w:rsid w:val="00435CC1"/>
    <w:rsid w:val="004375C9"/>
    <w:rsid w:val="00440B43"/>
    <w:rsid w:val="00440CB6"/>
    <w:rsid w:val="004428D7"/>
    <w:rsid w:val="00445572"/>
    <w:rsid w:val="0044626B"/>
    <w:rsid w:val="00446A13"/>
    <w:rsid w:val="00450780"/>
    <w:rsid w:val="00451235"/>
    <w:rsid w:val="00452F8F"/>
    <w:rsid w:val="004546A2"/>
    <w:rsid w:val="00454A6E"/>
    <w:rsid w:val="0045603F"/>
    <w:rsid w:val="0045608D"/>
    <w:rsid w:val="004568CD"/>
    <w:rsid w:val="00461414"/>
    <w:rsid w:val="0046279E"/>
    <w:rsid w:val="00464158"/>
    <w:rsid w:val="00466713"/>
    <w:rsid w:val="004667A3"/>
    <w:rsid w:val="00467981"/>
    <w:rsid w:val="004723EF"/>
    <w:rsid w:val="00472871"/>
    <w:rsid w:val="004732E7"/>
    <w:rsid w:val="004746B6"/>
    <w:rsid w:val="004768B9"/>
    <w:rsid w:val="00477DE3"/>
    <w:rsid w:val="00480190"/>
    <w:rsid w:val="00481803"/>
    <w:rsid w:val="004867C3"/>
    <w:rsid w:val="00491737"/>
    <w:rsid w:val="004918A8"/>
    <w:rsid w:val="00493CA3"/>
    <w:rsid w:val="00496853"/>
    <w:rsid w:val="004A1577"/>
    <w:rsid w:val="004A240C"/>
    <w:rsid w:val="004A2D05"/>
    <w:rsid w:val="004A2FB7"/>
    <w:rsid w:val="004A412C"/>
    <w:rsid w:val="004A481B"/>
    <w:rsid w:val="004A5A10"/>
    <w:rsid w:val="004A6531"/>
    <w:rsid w:val="004A76B0"/>
    <w:rsid w:val="004B07EE"/>
    <w:rsid w:val="004B119E"/>
    <w:rsid w:val="004B2742"/>
    <w:rsid w:val="004B437E"/>
    <w:rsid w:val="004B502F"/>
    <w:rsid w:val="004B5619"/>
    <w:rsid w:val="004B6941"/>
    <w:rsid w:val="004B6E3F"/>
    <w:rsid w:val="004B6F11"/>
    <w:rsid w:val="004B7357"/>
    <w:rsid w:val="004B7B98"/>
    <w:rsid w:val="004C0EF6"/>
    <w:rsid w:val="004C291E"/>
    <w:rsid w:val="004C2E04"/>
    <w:rsid w:val="004C33BA"/>
    <w:rsid w:val="004C42ED"/>
    <w:rsid w:val="004C44C8"/>
    <w:rsid w:val="004C55B3"/>
    <w:rsid w:val="004C5AD9"/>
    <w:rsid w:val="004C7CC0"/>
    <w:rsid w:val="004D24B8"/>
    <w:rsid w:val="004D5B88"/>
    <w:rsid w:val="004D5D2C"/>
    <w:rsid w:val="004D6CC4"/>
    <w:rsid w:val="004E1367"/>
    <w:rsid w:val="004E32EE"/>
    <w:rsid w:val="004E4592"/>
    <w:rsid w:val="004E54C4"/>
    <w:rsid w:val="004E5708"/>
    <w:rsid w:val="004E5C3E"/>
    <w:rsid w:val="004E71E4"/>
    <w:rsid w:val="004E761B"/>
    <w:rsid w:val="004F0DB1"/>
    <w:rsid w:val="004F225F"/>
    <w:rsid w:val="004F3A69"/>
    <w:rsid w:val="004F7F15"/>
    <w:rsid w:val="005004A5"/>
    <w:rsid w:val="00504565"/>
    <w:rsid w:val="005049C4"/>
    <w:rsid w:val="00506EE4"/>
    <w:rsid w:val="00507BDC"/>
    <w:rsid w:val="00511301"/>
    <w:rsid w:val="005115B6"/>
    <w:rsid w:val="005133BE"/>
    <w:rsid w:val="00516547"/>
    <w:rsid w:val="0051682A"/>
    <w:rsid w:val="00516E1C"/>
    <w:rsid w:val="005220A5"/>
    <w:rsid w:val="00522D38"/>
    <w:rsid w:val="00523189"/>
    <w:rsid w:val="0052533B"/>
    <w:rsid w:val="00526100"/>
    <w:rsid w:val="00526EDF"/>
    <w:rsid w:val="0052723E"/>
    <w:rsid w:val="00527521"/>
    <w:rsid w:val="00531F82"/>
    <w:rsid w:val="0053232D"/>
    <w:rsid w:val="00532544"/>
    <w:rsid w:val="00532BFE"/>
    <w:rsid w:val="00532F0F"/>
    <w:rsid w:val="005338EB"/>
    <w:rsid w:val="00533CF6"/>
    <w:rsid w:val="0053449B"/>
    <w:rsid w:val="005360D0"/>
    <w:rsid w:val="00536EAB"/>
    <w:rsid w:val="00537983"/>
    <w:rsid w:val="00537D89"/>
    <w:rsid w:val="00537F65"/>
    <w:rsid w:val="0054038C"/>
    <w:rsid w:val="00541892"/>
    <w:rsid w:val="00542174"/>
    <w:rsid w:val="005438F0"/>
    <w:rsid w:val="005439E4"/>
    <w:rsid w:val="00543CDA"/>
    <w:rsid w:val="005444C6"/>
    <w:rsid w:val="0054477F"/>
    <w:rsid w:val="0054485B"/>
    <w:rsid w:val="0054562E"/>
    <w:rsid w:val="00545839"/>
    <w:rsid w:val="00545E73"/>
    <w:rsid w:val="00546741"/>
    <w:rsid w:val="005507B1"/>
    <w:rsid w:val="00551703"/>
    <w:rsid w:val="005526A4"/>
    <w:rsid w:val="00552834"/>
    <w:rsid w:val="005543B6"/>
    <w:rsid w:val="00554780"/>
    <w:rsid w:val="0055507E"/>
    <w:rsid w:val="00555234"/>
    <w:rsid w:val="00556807"/>
    <w:rsid w:val="00556890"/>
    <w:rsid w:val="0056104E"/>
    <w:rsid w:val="0056165A"/>
    <w:rsid w:val="005616B0"/>
    <w:rsid w:val="00562D37"/>
    <w:rsid w:val="0056374B"/>
    <w:rsid w:val="00563EDE"/>
    <w:rsid w:val="00564F30"/>
    <w:rsid w:val="00566547"/>
    <w:rsid w:val="00566DFF"/>
    <w:rsid w:val="00571BAC"/>
    <w:rsid w:val="005738E1"/>
    <w:rsid w:val="00574AB9"/>
    <w:rsid w:val="00574D24"/>
    <w:rsid w:val="00576771"/>
    <w:rsid w:val="005769A2"/>
    <w:rsid w:val="00577139"/>
    <w:rsid w:val="00577AD5"/>
    <w:rsid w:val="00577BB5"/>
    <w:rsid w:val="00577DDF"/>
    <w:rsid w:val="005803AB"/>
    <w:rsid w:val="00580CA2"/>
    <w:rsid w:val="005817AE"/>
    <w:rsid w:val="00581D3E"/>
    <w:rsid w:val="0058229D"/>
    <w:rsid w:val="00582934"/>
    <w:rsid w:val="00582947"/>
    <w:rsid w:val="00582A46"/>
    <w:rsid w:val="00582A55"/>
    <w:rsid w:val="005845DB"/>
    <w:rsid w:val="00586201"/>
    <w:rsid w:val="00586476"/>
    <w:rsid w:val="00591112"/>
    <w:rsid w:val="005921D2"/>
    <w:rsid w:val="00592474"/>
    <w:rsid w:val="00593CDC"/>
    <w:rsid w:val="005942DA"/>
    <w:rsid w:val="00594692"/>
    <w:rsid w:val="00595599"/>
    <w:rsid w:val="005956C1"/>
    <w:rsid w:val="005970F8"/>
    <w:rsid w:val="005A15D1"/>
    <w:rsid w:val="005A1D66"/>
    <w:rsid w:val="005A2F89"/>
    <w:rsid w:val="005A45A0"/>
    <w:rsid w:val="005A45CE"/>
    <w:rsid w:val="005A7DC7"/>
    <w:rsid w:val="005B23FC"/>
    <w:rsid w:val="005B5CCB"/>
    <w:rsid w:val="005B77DD"/>
    <w:rsid w:val="005C2BF4"/>
    <w:rsid w:val="005C2FAD"/>
    <w:rsid w:val="005C41F5"/>
    <w:rsid w:val="005C766B"/>
    <w:rsid w:val="005C7805"/>
    <w:rsid w:val="005C789A"/>
    <w:rsid w:val="005D0F36"/>
    <w:rsid w:val="005D161F"/>
    <w:rsid w:val="005D1C47"/>
    <w:rsid w:val="005D20D5"/>
    <w:rsid w:val="005D2DFF"/>
    <w:rsid w:val="005D5124"/>
    <w:rsid w:val="005D52BF"/>
    <w:rsid w:val="005D6BD0"/>
    <w:rsid w:val="005E0695"/>
    <w:rsid w:val="005E21A6"/>
    <w:rsid w:val="005E23EB"/>
    <w:rsid w:val="005E3359"/>
    <w:rsid w:val="005E3ACF"/>
    <w:rsid w:val="005E536C"/>
    <w:rsid w:val="005E71F3"/>
    <w:rsid w:val="005F0571"/>
    <w:rsid w:val="005F19F5"/>
    <w:rsid w:val="005F1D58"/>
    <w:rsid w:val="005F2E14"/>
    <w:rsid w:val="005F5D38"/>
    <w:rsid w:val="005F6196"/>
    <w:rsid w:val="005F708C"/>
    <w:rsid w:val="006000D4"/>
    <w:rsid w:val="0060031B"/>
    <w:rsid w:val="006048B5"/>
    <w:rsid w:val="0060525D"/>
    <w:rsid w:val="0060531C"/>
    <w:rsid w:val="006133F6"/>
    <w:rsid w:val="00613C0C"/>
    <w:rsid w:val="00614BFA"/>
    <w:rsid w:val="0061537F"/>
    <w:rsid w:val="00617E30"/>
    <w:rsid w:val="0062017A"/>
    <w:rsid w:val="00620DF9"/>
    <w:rsid w:val="00623751"/>
    <w:rsid w:val="00625DED"/>
    <w:rsid w:val="00627AE9"/>
    <w:rsid w:val="00630165"/>
    <w:rsid w:val="006303AB"/>
    <w:rsid w:val="00630433"/>
    <w:rsid w:val="00630B46"/>
    <w:rsid w:val="00634192"/>
    <w:rsid w:val="00636A38"/>
    <w:rsid w:val="00640097"/>
    <w:rsid w:val="00640384"/>
    <w:rsid w:val="00641DC0"/>
    <w:rsid w:val="00642CFC"/>
    <w:rsid w:val="006442A5"/>
    <w:rsid w:val="00644A73"/>
    <w:rsid w:val="00644D1F"/>
    <w:rsid w:val="00645386"/>
    <w:rsid w:val="00646C98"/>
    <w:rsid w:val="00651914"/>
    <w:rsid w:val="0065199B"/>
    <w:rsid w:val="00652715"/>
    <w:rsid w:val="00653DDA"/>
    <w:rsid w:val="006544E5"/>
    <w:rsid w:val="00654A3A"/>
    <w:rsid w:val="00654D74"/>
    <w:rsid w:val="00655108"/>
    <w:rsid w:val="006554AA"/>
    <w:rsid w:val="00662449"/>
    <w:rsid w:val="006624ED"/>
    <w:rsid w:val="00663ADC"/>
    <w:rsid w:val="006647E9"/>
    <w:rsid w:val="00664BB3"/>
    <w:rsid w:val="006733FA"/>
    <w:rsid w:val="00673BC0"/>
    <w:rsid w:val="00673DAA"/>
    <w:rsid w:val="0067682F"/>
    <w:rsid w:val="00680EDA"/>
    <w:rsid w:val="00683564"/>
    <w:rsid w:val="006856BC"/>
    <w:rsid w:val="0068705C"/>
    <w:rsid w:val="00687ABF"/>
    <w:rsid w:val="00687C4E"/>
    <w:rsid w:val="006914F0"/>
    <w:rsid w:val="006941F1"/>
    <w:rsid w:val="00694340"/>
    <w:rsid w:val="006959C7"/>
    <w:rsid w:val="00696048"/>
    <w:rsid w:val="006960DF"/>
    <w:rsid w:val="0069648C"/>
    <w:rsid w:val="006A0B67"/>
    <w:rsid w:val="006A14A8"/>
    <w:rsid w:val="006A21D1"/>
    <w:rsid w:val="006A2761"/>
    <w:rsid w:val="006A28ED"/>
    <w:rsid w:val="006A2AE8"/>
    <w:rsid w:val="006A45A4"/>
    <w:rsid w:val="006A47D0"/>
    <w:rsid w:val="006A48D3"/>
    <w:rsid w:val="006A5641"/>
    <w:rsid w:val="006A6ADD"/>
    <w:rsid w:val="006B1457"/>
    <w:rsid w:val="006B4E45"/>
    <w:rsid w:val="006B60BD"/>
    <w:rsid w:val="006C05D6"/>
    <w:rsid w:val="006C0708"/>
    <w:rsid w:val="006C2202"/>
    <w:rsid w:val="006C2EF5"/>
    <w:rsid w:val="006C330E"/>
    <w:rsid w:val="006C3A0D"/>
    <w:rsid w:val="006C4D51"/>
    <w:rsid w:val="006C5A29"/>
    <w:rsid w:val="006C6052"/>
    <w:rsid w:val="006C61C7"/>
    <w:rsid w:val="006C79AD"/>
    <w:rsid w:val="006D09AA"/>
    <w:rsid w:val="006D0DC5"/>
    <w:rsid w:val="006D1621"/>
    <w:rsid w:val="006D3925"/>
    <w:rsid w:val="006D46A8"/>
    <w:rsid w:val="006D5377"/>
    <w:rsid w:val="006D540B"/>
    <w:rsid w:val="006D552B"/>
    <w:rsid w:val="006D70EF"/>
    <w:rsid w:val="006D7BF5"/>
    <w:rsid w:val="006E0DE9"/>
    <w:rsid w:val="006E0E2D"/>
    <w:rsid w:val="006E0E63"/>
    <w:rsid w:val="006E1343"/>
    <w:rsid w:val="006E1B1B"/>
    <w:rsid w:val="006E45DA"/>
    <w:rsid w:val="006E464A"/>
    <w:rsid w:val="006E6053"/>
    <w:rsid w:val="006E65FA"/>
    <w:rsid w:val="006E7132"/>
    <w:rsid w:val="006E7AD1"/>
    <w:rsid w:val="006E7DE0"/>
    <w:rsid w:val="006F038B"/>
    <w:rsid w:val="006F0C3A"/>
    <w:rsid w:val="006F1F38"/>
    <w:rsid w:val="006F1F7E"/>
    <w:rsid w:val="006F3B96"/>
    <w:rsid w:val="006F4AD0"/>
    <w:rsid w:val="006F4C4D"/>
    <w:rsid w:val="006F68CC"/>
    <w:rsid w:val="006F6BC9"/>
    <w:rsid w:val="006F6C1A"/>
    <w:rsid w:val="00700DBD"/>
    <w:rsid w:val="007012BA"/>
    <w:rsid w:val="0070233D"/>
    <w:rsid w:val="00702DBF"/>
    <w:rsid w:val="00703333"/>
    <w:rsid w:val="0070385D"/>
    <w:rsid w:val="00703D41"/>
    <w:rsid w:val="0070777E"/>
    <w:rsid w:val="007101AB"/>
    <w:rsid w:val="00710640"/>
    <w:rsid w:val="00712492"/>
    <w:rsid w:val="00712F15"/>
    <w:rsid w:val="00714497"/>
    <w:rsid w:val="007146FB"/>
    <w:rsid w:val="0071589F"/>
    <w:rsid w:val="00715A47"/>
    <w:rsid w:val="00716648"/>
    <w:rsid w:val="00716A25"/>
    <w:rsid w:val="00717335"/>
    <w:rsid w:val="0072150D"/>
    <w:rsid w:val="0072570E"/>
    <w:rsid w:val="0072625B"/>
    <w:rsid w:val="007263B7"/>
    <w:rsid w:val="007306BB"/>
    <w:rsid w:val="00730BC8"/>
    <w:rsid w:val="007320D6"/>
    <w:rsid w:val="0073280D"/>
    <w:rsid w:val="00732AC3"/>
    <w:rsid w:val="00734CBB"/>
    <w:rsid w:val="00735AC4"/>
    <w:rsid w:val="00736E91"/>
    <w:rsid w:val="007409DF"/>
    <w:rsid w:val="007419B3"/>
    <w:rsid w:val="00741F9E"/>
    <w:rsid w:val="007431FC"/>
    <w:rsid w:val="007440C7"/>
    <w:rsid w:val="00744D22"/>
    <w:rsid w:val="00745E88"/>
    <w:rsid w:val="00746B04"/>
    <w:rsid w:val="00746F33"/>
    <w:rsid w:val="00747F4F"/>
    <w:rsid w:val="00750DCC"/>
    <w:rsid w:val="00753D71"/>
    <w:rsid w:val="00754867"/>
    <w:rsid w:val="00754FF1"/>
    <w:rsid w:val="007556D1"/>
    <w:rsid w:val="007557A5"/>
    <w:rsid w:val="00757741"/>
    <w:rsid w:val="0076198E"/>
    <w:rsid w:val="00762ECF"/>
    <w:rsid w:val="00763B75"/>
    <w:rsid w:val="00766498"/>
    <w:rsid w:val="0076693C"/>
    <w:rsid w:val="00766EAC"/>
    <w:rsid w:val="00767DE9"/>
    <w:rsid w:val="00771D39"/>
    <w:rsid w:val="0077256D"/>
    <w:rsid w:val="007740FD"/>
    <w:rsid w:val="00774684"/>
    <w:rsid w:val="0077483D"/>
    <w:rsid w:val="00776B90"/>
    <w:rsid w:val="00776F9B"/>
    <w:rsid w:val="0077717A"/>
    <w:rsid w:val="00782F8A"/>
    <w:rsid w:val="00783368"/>
    <w:rsid w:val="00783636"/>
    <w:rsid w:val="00783E79"/>
    <w:rsid w:val="00784E12"/>
    <w:rsid w:val="00785053"/>
    <w:rsid w:val="007851A8"/>
    <w:rsid w:val="0078531A"/>
    <w:rsid w:val="00785411"/>
    <w:rsid w:val="007856B9"/>
    <w:rsid w:val="0078777F"/>
    <w:rsid w:val="0078797B"/>
    <w:rsid w:val="0079236F"/>
    <w:rsid w:val="00793137"/>
    <w:rsid w:val="00793249"/>
    <w:rsid w:val="00793498"/>
    <w:rsid w:val="00793D89"/>
    <w:rsid w:val="007954C4"/>
    <w:rsid w:val="007974DD"/>
    <w:rsid w:val="00797536"/>
    <w:rsid w:val="0079758B"/>
    <w:rsid w:val="007A0579"/>
    <w:rsid w:val="007A10BD"/>
    <w:rsid w:val="007A2AB0"/>
    <w:rsid w:val="007A307F"/>
    <w:rsid w:val="007A587A"/>
    <w:rsid w:val="007A66CA"/>
    <w:rsid w:val="007A6EDF"/>
    <w:rsid w:val="007A7550"/>
    <w:rsid w:val="007A7E3B"/>
    <w:rsid w:val="007A7E78"/>
    <w:rsid w:val="007A7FC5"/>
    <w:rsid w:val="007B09A9"/>
    <w:rsid w:val="007B0A1A"/>
    <w:rsid w:val="007B38C7"/>
    <w:rsid w:val="007B4897"/>
    <w:rsid w:val="007B5034"/>
    <w:rsid w:val="007B6EC2"/>
    <w:rsid w:val="007C105F"/>
    <w:rsid w:val="007C4221"/>
    <w:rsid w:val="007C4D63"/>
    <w:rsid w:val="007C678E"/>
    <w:rsid w:val="007C6B80"/>
    <w:rsid w:val="007D1102"/>
    <w:rsid w:val="007D11CF"/>
    <w:rsid w:val="007D1CF7"/>
    <w:rsid w:val="007D216B"/>
    <w:rsid w:val="007D2D27"/>
    <w:rsid w:val="007D2FA1"/>
    <w:rsid w:val="007D30ED"/>
    <w:rsid w:val="007D711F"/>
    <w:rsid w:val="007D7430"/>
    <w:rsid w:val="007E0A92"/>
    <w:rsid w:val="007E44A4"/>
    <w:rsid w:val="007E53F6"/>
    <w:rsid w:val="007E7E10"/>
    <w:rsid w:val="007F14AC"/>
    <w:rsid w:val="007F1ACC"/>
    <w:rsid w:val="007F3ABF"/>
    <w:rsid w:val="007F3DE1"/>
    <w:rsid w:val="007F3EB2"/>
    <w:rsid w:val="007F425D"/>
    <w:rsid w:val="007F4497"/>
    <w:rsid w:val="007F72CB"/>
    <w:rsid w:val="00800C86"/>
    <w:rsid w:val="00801B79"/>
    <w:rsid w:val="00802FCB"/>
    <w:rsid w:val="00803777"/>
    <w:rsid w:val="0080446B"/>
    <w:rsid w:val="00807095"/>
    <w:rsid w:val="008072F6"/>
    <w:rsid w:val="00807470"/>
    <w:rsid w:val="00810E7E"/>
    <w:rsid w:val="008117E7"/>
    <w:rsid w:val="00812CAA"/>
    <w:rsid w:val="00814471"/>
    <w:rsid w:val="00815CEC"/>
    <w:rsid w:val="00816C13"/>
    <w:rsid w:val="00816E93"/>
    <w:rsid w:val="00821A37"/>
    <w:rsid w:val="008227E6"/>
    <w:rsid w:val="0082322E"/>
    <w:rsid w:val="0082399C"/>
    <w:rsid w:val="00823D74"/>
    <w:rsid w:val="00823EB1"/>
    <w:rsid w:val="00824CD7"/>
    <w:rsid w:val="0082615A"/>
    <w:rsid w:val="008300CB"/>
    <w:rsid w:val="008302FD"/>
    <w:rsid w:val="00830D3A"/>
    <w:rsid w:val="00830FB5"/>
    <w:rsid w:val="00831AAB"/>
    <w:rsid w:val="00831C0C"/>
    <w:rsid w:val="00833F9D"/>
    <w:rsid w:val="0083603D"/>
    <w:rsid w:val="0083620A"/>
    <w:rsid w:val="00836555"/>
    <w:rsid w:val="00836A40"/>
    <w:rsid w:val="00836D0A"/>
    <w:rsid w:val="00837472"/>
    <w:rsid w:val="00837DD4"/>
    <w:rsid w:val="008406F8"/>
    <w:rsid w:val="00840D0E"/>
    <w:rsid w:val="00841F91"/>
    <w:rsid w:val="00842280"/>
    <w:rsid w:val="0084353A"/>
    <w:rsid w:val="00843D64"/>
    <w:rsid w:val="00843EB9"/>
    <w:rsid w:val="0084443C"/>
    <w:rsid w:val="008449AC"/>
    <w:rsid w:val="00844FB2"/>
    <w:rsid w:val="00845373"/>
    <w:rsid w:val="0084560B"/>
    <w:rsid w:val="00846066"/>
    <w:rsid w:val="00846176"/>
    <w:rsid w:val="00847A22"/>
    <w:rsid w:val="008501A6"/>
    <w:rsid w:val="00850E50"/>
    <w:rsid w:val="008526B6"/>
    <w:rsid w:val="008545E8"/>
    <w:rsid w:val="00854982"/>
    <w:rsid w:val="00855805"/>
    <w:rsid w:val="0086013E"/>
    <w:rsid w:val="00860CEA"/>
    <w:rsid w:val="00860EF8"/>
    <w:rsid w:val="00863343"/>
    <w:rsid w:val="008636AC"/>
    <w:rsid w:val="008644FA"/>
    <w:rsid w:val="00865998"/>
    <w:rsid w:val="00865AA2"/>
    <w:rsid w:val="008667C4"/>
    <w:rsid w:val="0086787D"/>
    <w:rsid w:val="00867BB1"/>
    <w:rsid w:val="00871103"/>
    <w:rsid w:val="00872226"/>
    <w:rsid w:val="0087331B"/>
    <w:rsid w:val="00874AC9"/>
    <w:rsid w:val="008750AA"/>
    <w:rsid w:val="00875762"/>
    <w:rsid w:val="0087619D"/>
    <w:rsid w:val="0087667D"/>
    <w:rsid w:val="00881EA3"/>
    <w:rsid w:val="008847F6"/>
    <w:rsid w:val="00885330"/>
    <w:rsid w:val="008856F9"/>
    <w:rsid w:val="0088608C"/>
    <w:rsid w:val="00886158"/>
    <w:rsid w:val="0088645C"/>
    <w:rsid w:val="0088768B"/>
    <w:rsid w:val="00890230"/>
    <w:rsid w:val="00891E5E"/>
    <w:rsid w:val="00892D3D"/>
    <w:rsid w:val="00893C9E"/>
    <w:rsid w:val="008940FB"/>
    <w:rsid w:val="008A5465"/>
    <w:rsid w:val="008A5CEB"/>
    <w:rsid w:val="008A5D07"/>
    <w:rsid w:val="008B03CC"/>
    <w:rsid w:val="008B136F"/>
    <w:rsid w:val="008B13D2"/>
    <w:rsid w:val="008B1530"/>
    <w:rsid w:val="008B2398"/>
    <w:rsid w:val="008B2458"/>
    <w:rsid w:val="008B6288"/>
    <w:rsid w:val="008B6CCA"/>
    <w:rsid w:val="008B7C17"/>
    <w:rsid w:val="008C10C2"/>
    <w:rsid w:val="008C2319"/>
    <w:rsid w:val="008C316A"/>
    <w:rsid w:val="008C37A6"/>
    <w:rsid w:val="008C44F8"/>
    <w:rsid w:val="008C4FA7"/>
    <w:rsid w:val="008C60AE"/>
    <w:rsid w:val="008C6BED"/>
    <w:rsid w:val="008C6EF3"/>
    <w:rsid w:val="008D0270"/>
    <w:rsid w:val="008D118C"/>
    <w:rsid w:val="008D1520"/>
    <w:rsid w:val="008D446F"/>
    <w:rsid w:val="008D4789"/>
    <w:rsid w:val="008D5581"/>
    <w:rsid w:val="008D75EE"/>
    <w:rsid w:val="008E246A"/>
    <w:rsid w:val="008E2D8F"/>
    <w:rsid w:val="008E35D6"/>
    <w:rsid w:val="008E35E3"/>
    <w:rsid w:val="008E4A9B"/>
    <w:rsid w:val="008E5542"/>
    <w:rsid w:val="008F021D"/>
    <w:rsid w:val="008F0EE8"/>
    <w:rsid w:val="008F57D8"/>
    <w:rsid w:val="008F6765"/>
    <w:rsid w:val="008F6E86"/>
    <w:rsid w:val="008F7E6F"/>
    <w:rsid w:val="00900C46"/>
    <w:rsid w:val="00901E76"/>
    <w:rsid w:val="009026A8"/>
    <w:rsid w:val="009040FF"/>
    <w:rsid w:val="00905CBA"/>
    <w:rsid w:val="009139C5"/>
    <w:rsid w:val="0091427B"/>
    <w:rsid w:val="00915644"/>
    <w:rsid w:val="00917754"/>
    <w:rsid w:val="00920761"/>
    <w:rsid w:val="00920DD3"/>
    <w:rsid w:val="0092176A"/>
    <w:rsid w:val="00922B53"/>
    <w:rsid w:val="0092360F"/>
    <w:rsid w:val="00924CBA"/>
    <w:rsid w:val="009259E3"/>
    <w:rsid w:val="00925F4F"/>
    <w:rsid w:val="009275C2"/>
    <w:rsid w:val="0092767B"/>
    <w:rsid w:val="00927BE4"/>
    <w:rsid w:val="009307B6"/>
    <w:rsid w:val="0093246E"/>
    <w:rsid w:val="00932BB0"/>
    <w:rsid w:val="009346A9"/>
    <w:rsid w:val="009352F4"/>
    <w:rsid w:val="00937455"/>
    <w:rsid w:val="00937514"/>
    <w:rsid w:val="0093777B"/>
    <w:rsid w:val="0094087D"/>
    <w:rsid w:val="00940886"/>
    <w:rsid w:val="00941322"/>
    <w:rsid w:val="00943416"/>
    <w:rsid w:val="00943979"/>
    <w:rsid w:val="00944BAF"/>
    <w:rsid w:val="009458FB"/>
    <w:rsid w:val="00947849"/>
    <w:rsid w:val="00952674"/>
    <w:rsid w:val="00952E41"/>
    <w:rsid w:val="00953443"/>
    <w:rsid w:val="009616B8"/>
    <w:rsid w:val="00962BC2"/>
    <w:rsid w:val="00964B15"/>
    <w:rsid w:val="00965021"/>
    <w:rsid w:val="00965340"/>
    <w:rsid w:val="0096777C"/>
    <w:rsid w:val="00967C38"/>
    <w:rsid w:val="00970709"/>
    <w:rsid w:val="00971A2F"/>
    <w:rsid w:val="009731B7"/>
    <w:rsid w:val="00975D61"/>
    <w:rsid w:val="00976AD0"/>
    <w:rsid w:val="009813C4"/>
    <w:rsid w:val="009818C2"/>
    <w:rsid w:val="00983485"/>
    <w:rsid w:val="00984557"/>
    <w:rsid w:val="0098510C"/>
    <w:rsid w:val="00986441"/>
    <w:rsid w:val="00990C26"/>
    <w:rsid w:val="00991EC6"/>
    <w:rsid w:val="009921DC"/>
    <w:rsid w:val="00992D00"/>
    <w:rsid w:val="00992DB2"/>
    <w:rsid w:val="009945C4"/>
    <w:rsid w:val="009954A9"/>
    <w:rsid w:val="009A0FA5"/>
    <w:rsid w:val="009A182B"/>
    <w:rsid w:val="009A22F1"/>
    <w:rsid w:val="009A2D06"/>
    <w:rsid w:val="009A2F21"/>
    <w:rsid w:val="009A31B1"/>
    <w:rsid w:val="009A3822"/>
    <w:rsid w:val="009A3CB3"/>
    <w:rsid w:val="009A4FBF"/>
    <w:rsid w:val="009A53F7"/>
    <w:rsid w:val="009A5F7D"/>
    <w:rsid w:val="009B2485"/>
    <w:rsid w:val="009B37DD"/>
    <w:rsid w:val="009B55A8"/>
    <w:rsid w:val="009B589F"/>
    <w:rsid w:val="009C1649"/>
    <w:rsid w:val="009C2149"/>
    <w:rsid w:val="009C39D7"/>
    <w:rsid w:val="009C6583"/>
    <w:rsid w:val="009C6F03"/>
    <w:rsid w:val="009C71DC"/>
    <w:rsid w:val="009C7218"/>
    <w:rsid w:val="009C72D4"/>
    <w:rsid w:val="009C78B8"/>
    <w:rsid w:val="009C7C01"/>
    <w:rsid w:val="009D12A8"/>
    <w:rsid w:val="009D17B3"/>
    <w:rsid w:val="009D225E"/>
    <w:rsid w:val="009D2C09"/>
    <w:rsid w:val="009D5D00"/>
    <w:rsid w:val="009E0D46"/>
    <w:rsid w:val="009E0F88"/>
    <w:rsid w:val="009E24AD"/>
    <w:rsid w:val="009E3CC9"/>
    <w:rsid w:val="009E3FD6"/>
    <w:rsid w:val="009E46C3"/>
    <w:rsid w:val="009E49ED"/>
    <w:rsid w:val="009E5D52"/>
    <w:rsid w:val="009E6354"/>
    <w:rsid w:val="009F0871"/>
    <w:rsid w:val="009F0E55"/>
    <w:rsid w:val="009F382F"/>
    <w:rsid w:val="009F3D19"/>
    <w:rsid w:val="009F402D"/>
    <w:rsid w:val="009F473E"/>
    <w:rsid w:val="009F64F7"/>
    <w:rsid w:val="009F64F8"/>
    <w:rsid w:val="009F6AED"/>
    <w:rsid w:val="009F7AD4"/>
    <w:rsid w:val="009F7ADB"/>
    <w:rsid w:val="00A00386"/>
    <w:rsid w:val="00A003AD"/>
    <w:rsid w:val="00A00608"/>
    <w:rsid w:val="00A00D79"/>
    <w:rsid w:val="00A01230"/>
    <w:rsid w:val="00A01FDF"/>
    <w:rsid w:val="00A107C1"/>
    <w:rsid w:val="00A10800"/>
    <w:rsid w:val="00A10A2A"/>
    <w:rsid w:val="00A10AC5"/>
    <w:rsid w:val="00A11DAA"/>
    <w:rsid w:val="00A145D3"/>
    <w:rsid w:val="00A15742"/>
    <w:rsid w:val="00A1585B"/>
    <w:rsid w:val="00A159D6"/>
    <w:rsid w:val="00A15D42"/>
    <w:rsid w:val="00A168EC"/>
    <w:rsid w:val="00A16A10"/>
    <w:rsid w:val="00A17D09"/>
    <w:rsid w:val="00A2187B"/>
    <w:rsid w:val="00A22935"/>
    <w:rsid w:val="00A23875"/>
    <w:rsid w:val="00A26454"/>
    <w:rsid w:val="00A279EF"/>
    <w:rsid w:val="00A31632"/>
    <w:rsid w:val="00A31F64"/>
    <w:rsid w:val="00A337E6"/>
    <w:rsid w:val="00A33D50"/>
    <w:rsid w:val="00A34973"/>
    <w:rsid w:val="00A34D27"/>
    <w:rsid w:val="00A367F2"/>
    <w:rsid w:val="00A369CA"/>
    <w:rsid w:val="00A37BDB"/>
    <w:rsid w:val="00A40EB6"/>
    <w:rsid w:val="00A411DF"/>
    <w:rsid w:val="00A41B7C"/>
    <w:rsid w:val="00A42722"/>
    <w:rsid w:val="00A42BAD"/>
    <w:rsid w:val="00A44BDC"/>
    <w:rsid w:val="00A44C3B"/>
    <w:rsid w:val="00A45E72"/>
    <w:rsid w:val="00A464BF"/>
    <w:rsid w:val="00A47491"/>
    <w:rsid w:val="00A47931"/>
    <w:rsid w:val="00A47BDF"/>
    <w:rsid w:val="00A527FD"/>
    <w:rsid w:val="00A52962"/>
    <w:rsid w:val="00A536B4"/>
    <w:rsid w:val="00A54534"/>
    <w:rsid w:val="00A5505A"/>
    <w:rsid w:val="00A556B1"/>
    <w:rsid w:val="00A55777"/>
    <w:rsid w:val="00A5590D"/>
    <w:rsid w:val="00A57462"/>
    <w:rsid w:val="00A6012B"/>
    <w:rsid w:val="00A61C07"/>
    <w:rsid w:val="00A62575"/>
    <w:rsid w:val="00A6358B"/>
    <w:rsid w:val="00A6365A"/>
    <w:rsid w:val="00A64103"/>
    <w:rsid w:val="00A642CE"/>
    <w:rsid w:val="00A645C2"/>
    <w:rsid w:val="00A66CF0"/>
    <w:rsid w:val="00A6745C"/>
    <w:rsid w:val="00A70A45"/>
    <w:rsid w:val="00A71C43"/>
    <w:rsid w:val="00A72C21"/>
    <w:rsid w:val="00A74CF7"/>
    <w:rsid w:val="00A75243"/>
    <w:rsid w:val="00A75AB3"/>
    <w:rsid w:val="00A77AF9"/>
    <w:rsid w:val="00A82AF7"/>
    <w:rsid w:val="00A85EDC"/>
    <w:rsid w:val="00A86D50"/>
    <w:rsid w:val="00A87A3E"/>
    <w:rsid w:val="00A90683"/>
    <w:rsid w:val="00A909E5"/>
    <w:rsid w:val="00A9103F"/>
    <w:rsid w:val="00A91A6C"/>
    <w:rsid w:val="00A9609A"/>
    <w:rsid w:val="00A96964"/>
    <w:rsid w:val="00A971E3"/>
    <w:rsid w:val="00AA0582"/>
    <w:rsid w:val="00AA166C"/>
    <w:rsid w:val="00AA1B0F"/>
    <w:rsid w:val="00AA1DE1"/>
    <w:rsid w:val="00AA3D73"/>
    <w:rsid w:val="00AA4812"/>
    <w:rsid w:val="00AA58D6"/>
    <w:rsid w:val="00AA64F1"/>
    <w:rsid w:val="00AA7192"/>
    <w:rsid w:val="00AB24A5"/>
    <w:rsid w:val="00AB3D9B"/>
    <w:rsid w:val="00AB4A13"/>
    <w:rsid w:val="00AB4C99"/>
    <w:rsid w:val="00AB5635"/>
    <w:rsid w:val="00AB6797"/>
    <w:rsid w:val="00AB72C3"/>
    <w:rsid w:val="00AC0261"/>
    <w:rsid w:val="00AC5463"/>
    <w:rsid w:val="00AC5B9B"/>
    <w:rsid w:val="00AC7296"/>
    <w:rsid w:val="00AC77B5"/>
    <w:rsid w:val="00AD0072"/>
    <w:rsid w:val="00AD250F"/>
    <w:rsid w:val="00AD316A"/>
    <w:rsid w:val="00AD452B"/>
    <w:rsid w:val="00AD51C4"/>
    <w:rsid w:val="00AD6BC8"/>
    <w:rsid w:val="00AE0AEC"/>
    <w:rsid w:val="00AE130D"/>
    <w:rsid w:val="00AE1CB9"/>
    <w:rsid w:val="00AE1F0E"/>
    <w:rsid w:val="00AE24D7"/>
    <w:rsid w:val="00AE470E"/>
    <w:rsid w:val="00AE55AE"/>
    <w:rsid w:val="00AE57F1"/>
    <w:rsid w:val="00AE77CC"/>
    <w:rsid w:val="00AF182C"/>
    <w:rsid w:val="00AF2355"/>
    <w:rsid w:val="00AF2858"/>
    <w:rsid w:val="00AF2C7E"/>
    <w:rsid w:val="00AF2D4A"/>
    <w:rsid w:val="00AF4895"/>
    <w:rsid w:val="00AF4E25"/>
    <w:rsid w:val="00AF56A7"/>
    <w:rsid w:val="00B00204"/>
    <w:rsid w:val="00B00DDA"/>
    <w:rsid w:val="00B018D5"/>
    <w:rsid w:val="00B02CDE"/>
    <w:rsid w:val="00B06185"/>
    <w:rsid w:val="00B06B6F"/>
    <w:rsid w:val="00B06C70"/>
    <w:rsid w:val="00B07E1B"/>
    <w:rsid w:val="00B100FD"/>
    <w:rsid w:val="00B115FC"/>
    <w:rsid w:val="00B11B8B"/>
    <w:rsid w:val="00B1223B"/>
    <w:rsid w:val="00B141F7"/>
    <w:rsid w:val="00B1624A"/>
    <w:rsid w:val="00B16C19"/>
    <w:rsid w:val="00B16D1E"/>
    <w:rsid w:val="00B1735C"/>
    <w:rsid w:val="00B227DB"/>
    <w:rsid w:val="00B229B1"/>
    <w:rsid w:val="00B22E70"/>
    <w:rsid w:val="00B23D21"/>
    <w:rsid w:val="00B247B2"/>
    <w:rsid w:val="00B24D51"/>
    <w:rsid w:val="00B2541C"/>
    <w:rsid w:val="00B26E41"/>
    <w:rsid w:val="00B27445"/>
    <w:rsid w:val="00B2791E"/>
    <w:rsid w:val="00B307CB"/>
    <w:rsid w:val="00B30A0A"/>
    <w:rsid w:val="00B30ADA"/>
    <w:rsid w:val="00B31246"/>
    <w:rsid w:val="00B318E7"/>
    <w:rsid w:val="00B31CC7"/>
    <w:rsid w:val="00B33BAE"/>
    <w:rsid w:val="00B34829"/>
    <w:rsid w:val="00B3583A"/>
    <w:rsid w:val="00B35A64"/>
    <w:rsid w:val="00B36BE1"/>
    <w:rsid w:val="00B36D16"/>
    <w:rsid w:val="00B3751D"/>
    <w:rsid w:val="00B40337"/>
    <w:rsid w:val="00B407AD"/>
    <w:rsid w:val="00B40CFD"/>
    <w:rsid w:val="00B4118D"/>
    <w:rsid w:val="00B42566"/>
    <w:rsid w:val="00B43854"/>
    <w:rsid w:val="00B449A3"/>
    <w:rsid w:val="00B46552"/>
    <w:rsid w:val="00B47637"/>
    <w:rsid w:val="00B50910"/>
    <w:rsid w:val="00B50D8B"/>
    <w:rsid w:val="00B50FBA"/>
    <w:rsid w:val="00B52DC2"/>
    <w:rsid w:val="00B548FF"/>
    <w:rsid w:val="00B5491B"/>
    <w:rsid w:val="00B55558"/>
    <w:rsid w:val="00B56500"/>
    <w:rsid w:val="00B616C4"/>
    <w:rsid w:val="00B61DAD"/>
    <w:rsid w:val="00B61E2C"/>
    <w:rsid w:val="00B63033"/>
    <w:rsid w:val="00B65AD5"/>
    <w:rsid w:val="00B66362"/>
    <w:rsid w:val="00B66DE9"/>
    <w:rsid w:val="00B66ECF"/>
    <w:rsid w:val="00B70893"/>
    <w:rsid w:val="00B708CC"/>
    <w:rsid w:val="00B723E9"/>
    <w:rsid w:val="00B72638"/>
    <w:rsid w:val="00B73D9D"/>
    <w:rsid w:val="00B7524B"/>
    <w:rsid w:val="00B75490"/>
    <w:rsid w:val="00B75A58"/>
    <w:rsid w:val="00B81181"/>
    <w:rsid w:val="00B8356B"/>
    <w:rsid w:val="00B83B83"/>
    <w:rsid w:val="00B83C58"/>
    <w:rsid w:val="00B85507"/>
    <w:rsid w:val="00B85A7B"/>
    <w:rsid w:val="00B92664"/>
    <w:rsid w:val="00B9407E"/>
    <w:rsid w:val="00B946DC"/>
    <w:rsid w:val="00B951B9"/>
    <w:rsid w:val="00B97F21"/>
    <w:rsid w:val="00BA135B"/>
    <w:rsid w:val="00BA1393"/>
    <w:rsid w:val="00BA386D"/>
    <w:rsid w:val="00BA7444"/>
    <w:rsid w:val="00BB0A1D"/>
    <w:rsid w:val="00BB2244"/>
    <w:rsid w:val="00BB2773"/>
    <w:rsid w:val="00BB28EB"/>
    <w:rsid w:val="00BB4DA0"/>
    <w:rsid w:val="00BB64A9"/>
    <w:rsid w:val="00BB76DE"/>
    <w:rsid w:val="00BC189E"/>
    <w:rsid w:val="00BC1FE9"/>
    <w:rsid w:val="00BC2C12"/>
    <w:rsid w:val="00BC36B2"/>
    <w:rsid w:val="00BC40D4"/>
    <w:rsid w:val="00BC5B55"/>
    <w:rsid w:val="00BD12B5"/>
    <w:rsid w:val="00BD4875"/>
    <w:rsid w:val="00BD561E"/>
    <w:rsid w:val="00BD6F97"/>
    <w:rsid w:val="00BE0AC8"/>
    <w:rsid w:val="00BE629A"/>
    <w:rsid w:val="00BE7C36"/>
    <w:rsid w:val="00BF13AC"/>
    <w:rsid w:val="00BF390E"/>
    <w:rsid w:val="00BF473B"/>
    <w:rsid w:val="00BF49FA"/>
    <w:rsid w:val="00BF4E9D"/>
    <w:rsid w:val="00C0056C"/>
    <w:rsid w:val="00C01E38"/>
    <w:rsid w:val="00C036DB"/>
    <w:rsid w:val="00C05AED"/>
    <w:rsid w:val="00C06C06"/>
    <w:rsid w:val="00C06CAC"/>
    <w:rsid w:val="00C11023"/>
    <w:rsid w:val="00C120E9"/>
    <w:rsid w:val="00C126FE"/>
    <w:rsid w:val="00C12A71"/>
    <w:rsid w:val="00C14518"/>
    <w:rsid w:val="00C14CD0"/>
    <w:rsid w:val="00C15465"/>
    <w:rsid w:val="00C16173"/>
    <w:rsid w:val="00C1670D"/>
    <w:rsid w:val="00C16FE5"/>
    <w:rsid w:val="00C2094E"/>
    <w:rsid w:val="00C22E16"/>
    <w:rsid w:val="00C23ADA"/>
    <w:rsid w:val="00C24454"/>
    <w:rsid w:val="00C2472A"/>
    <w:rsid w:val="00C24BB9"/>
    <w:rsid w:val="00C2503B"/>
    <w:rsid w:val="00C25A6B"/>
    <w:rsid w:val="00C26E6B"/>
    <w:rsid w:val="00C26E78"/>
    <w:rsid w:val="00C27622"/>
    <w:rsid w:val="00C3041D"/>
    <w:rsid w:val="00C3149D"/>
    <w:rsid w:val="00C334C6"/>
    <w:rsid w:val="00C374BE"/>
    <w:rsid w:val="00C42F8E"/>
    <w:rsid w:val="00C449E8"/>
    <w:rsid w:val="00C46B43"/>
    <w:rsid w:val="00C46F51"/>
    <w:rsid w:val="00C527CF"/>
    <w:rsid w:val="00C53873"/>
    <w:rsid w:val="00C53AFD"/>
    <w:rsid w:val="00C5693C"/>
    <w:rsid w:val="00C60109"/>
    <w:rsid w:val="00C6193C"/>
    <w:rsid w:val="00C62433"/>
    <w:rsid w:val="00C65703"/>
    <w:rsid w:val="00C67297"/>
    <w:rsid w:val="00C67FCC"/>
    <w:rsid w:val="00C7009A"/>
    <w:rsid w:val="00C718A2"/>
    <w:rsid w:val="00C742D9"/>
    <w:rsid w:val="00C74548"/>
    <w:rsid w:val="00C74E51"/>
    <w:rsid w:val="00C75966"/>
    <w:rsid w:val="00C75B1E"/>
    <w:rsid w:val="00C75E9C"/>
    <w:rsid w:val="00C80D12"/>
    <w:rsid w:val="00C81271"/>
    <w:rsid w:val="00C818AE"/>
    <w:rsid w:val="00C8280D"/>
    <w:rsid w:val="00C84C86"/>
    <w:rsid w:val="00C85179"/>
    <w:rsid w:val="00C87BC8"/>
    <w:rsid w:val="00C90290"/>
    <w:rsid w:val="00C904E6"/>
    <w:rsid w:val="00C907D4"/>
    <w:rsid w:val="00C90AC2"/>
    <w:rsid w:val="00C91243"/>
    <w:rsid w:val="00C914C7"/>
    <w:rsid w:val="00C91ACA"/>
    <w:rsid w:val="00C92E15"/>
    <w:rsid w:val="00C93CCD"/>
    <w:rsid w:val="00C957E7"/>
    <w:rsid w:val="00C95B02"/>
    <w:rsid w:val="00C9611B"/>
    <w:rsid w:val="00C96EFA"/>
    <w:rsid w:val="00CA06C0"/>
    <w:rsid w:val="00CA15FA"/>
    <w:rsid w:val="00CA1FF3"/>
    <w:rsid w:val="00CA2565"/>
    <w:rsid w:val="00CA2CE9"/>
    <w:rsid w:val="00CA353E"/>
    <w:rsid w:val="00CA4088"/>
    <w:rsid w:val="00CA5D0D"/>
    <w:rsid w:val="00CA620F"/>
    <w:rsid w:val="00CA6D5B"/>
    <w:rsid w:val="00CA76D3"/>
    <w:rsid w:val="00CB0834"/>
    <w:rsid w:val="00CB0F3B"/>
    <w:rsid w:val="00CB1789"/>
    <w:rsid w:val="00CB1845"/>
    <w:rsid w:val="00CB2955"/>
    <w:rsid w:val="00CB388E"/>
    <w:rsid w:val="00CB4A77"/>
    <w:rsid w:val="00CB5752"/>
    <w:rsid w:val="00CC17CB"/>
    <w:rsid w:val="00CC2E65"/>
    <w:rsid w:val="00CC3184"/>
    <w:rsid w:val="00CC521A"/>
    <w:rsid w:val="00CC61B5"/>
    <w:rsid w:val="00CC6DC1"/>
    <w:rsid w:val="00CC7E39"/>
    <w:rsid w:val="00CD2315"/>
    <w:rsid w:val="00CD27EB"/>
    <w:rsid w:val="00CD313E"/>
    <w:rsid w:val="00CD4212"/>
    <w:rsid w:val="00CD4C44"/>
    <w:rsid w:val="00CD510D"/>
    <w:rsid w:val="00CD57B2"/>
    <w:rsid w:val="00CD60BB"/>
    <w:rsid w:val="00CD7925"/>
    <w:rsid w:val="00CE0346"/>
    <w:rsid w:val="00CE1C41"/>
    <w:rsid w:val="00CE22AE"/>
    <w:rsid w:val="00CE295B"/>
    <w:rsid w:val="00CE2E93"/>
    <w:rsid w:val="00CE2F27"/>
    <w:rsid w:val="00CE33C6"/>
    <w:rsid w:val="00CE3C4A"/>
    <w:rsid w:val="00CE48C9"/>
    <w:rsid w:val="00CE599B"/>
    <w:rsid w:val="00CF029E"/>
    <w:rsid w:val="00CF11C5"/>
    <w:rsid w:val="00CF1E42"/>
    <w:rsid w:val="00CF279D"/>
    <w:rsid w:val="00CF44D7"/>
    <w:rsid w:val="00CF6B70"/>
    <w:rsid w:val="00CF7286"/>
    <w:rsid w:val="00CF730C"/>
    <w:rsid w:val="00CF7C40"/>
    <w:rsid w:val="00D01C08"/>
    <w:rsid w:val="00D01E2A"/>
    <w:rsid w:val="00D02C9D"/>
    <w:rsid w:val="00D043D8"/>
    <w:rsid w:val="00D0638D"/>
    <w:rsid w:val="00D0641C"/>
    <w:rsid w:val="00D06D39"/>
    <w:rsid w:val="00D074B3"/>
    <w:rsid w:val="00D10804"/>
    <w:rsid w:val="00D114C2"/>
    <w:rsid w:val="00D12307"/>
    <w:rsid w:val="00D146CA"/>
    <w:rsid w:val="00D149F8"/>
    <w:rsid w:val="00D154A9"/>
    <w:rsid w:val="00D15D86"/>
    <w:rsid w:val="00D16CBC"/>
    <w:rsid w:val="00D1718F"/>
    <w:rsid w:val="00D222B8"/>
    <w:rsid w:val="00D229A2"/>
    <w:rsid w:val="00D24818"/>
    <w:rsid w:val="00D26552"/>
    <w:rsid w:val="00D301B4"/>
    <w:rsid w:val="00D315DB"/>
    <w:rsid w:val="00D328D5"/>
    <w:rsid w:val="00D32DE3"/>
    <w:rsid w:val="00D332A2"/>
    <w:rsid w:val="00D3413A"/>
    <w:rsid w:val="00D34CB8"/>
    <w:rsid w:val="00D351BE"/>
    <w:rsid w:val="00D358C1"/>
    <w:rsid w:val="00D367E5"/>
    <w:rsid w:val="00D402F1"/>
    <w:rsid w:val="00D41268"/>
    <w:rsid w:val="00D413F7"/>
    <w:rsid w:val="00D44E75"/>
    <w:rsid w:val="00D45537"/>
    <w:rsid w:val="00D46FB6"/>
    <w:rsid w:val="00D51BE2"/>
    <w:rsid w:val="00D52148"/>
    <w:rsid w:val="00D53CE0"/>
    <w:rsid w:val="00D56B34"/>
    <w:rsid w:val="00D60562"/>
    <w:rsid w:val="00D60ABF"/>
    <w:rsid w:val="00D6242D"/>
    <w:rsid w:val="00D64B23"/>
    <w:rsid w:val="00D66AAD"/>
    <w:rsid w:val="00D70952"/>
    <w:rsid w:val="00D732E4"/>
    <w:rsid w:val="00D73A49"/>
    <w:rsid w:val="00D741D0"/>
    <w:rsid w:val="00D766B6"/>
    <w:rsid w:val="00D76FDB"/>
    <w:rsid w:val="00D777AC"/>
    <w:rsid w:val="00D81A27"/>
    <w:rsid w:val="00D81A6A"/>
    <w:rsid w:val="00D82702"/>
    <w:rsid w:val="00D8382D"/>
    <w:rsid w:val="00D84D57"/>
    <w:rsid w:val="00D8716F"/>
    <w:rsid w:val="00D90A5D"/>
    <w:rsid w:val="00D92035"/>
    <w:rsid w:val="00D92C76"/>
    <w:rsid w:val="00D934C9"/>
    <w:rsid w:val="00D9439D"/>
    <w:rsid w:val="00D949A2"/>
    <w:rsid w:val="00D94CB0"/>
    <w:rsid w:val="00DA0124"/>
    <w:rsid w:val="00DA01ED"/>
    <w:rsid w:val="00DA2856"/>
    <w:rsid w:val="00DA457E"/>
    <w:rsid w:val="00DA5350"/>
    <w:rsid w:val="00DA5532"/>
    <w:rsid w:val="00DA5F96"/>
    <w:rsid w:val="00DA632B"/>
    <w:rsid w:val="00DA77F1"/>
    <w:rsid w:val="00DB34BD"/>
    <w:rsid w:val="00DB37BF"/>
    <w:rsid w:val="00DB4832"/>
    <w:rsid w:val="00DB4D70"/>
    <w:rsid w:val="00DB5801"/>
    <w:rsid w:val="00DB61CC"/>
    <w:rsid w:val="00DB68D0"/>
    <w:rsid w:val="00DB71F0"/>
    <w:rsid w:val="00DC1070"/>
    <w:rsid w:val="00DC17FA"/>
    <w:rsid w:val="00DC1C7F"/>
    <w:rsid w:val="00DC2939"/>
    <w:rsid w:val="00DC3027"/>
    <w:rsid w:val="00DC4D88"/>
    <w:rsid w:val="00DC5D8D"/>
    <w:rsid w:val="00DC75AD"/>
    <w:rsid w:val="00DD0228"/>
    <w:rsid w:val="00DD039D"/>
    <w:rsid w:val="00DD0725"/>
    <w:rsid w:val="00DD0E4F"/>
    <w:rsid w:val="00DD15FA"/>
    <w:rsid w:val="00DD33BC"/>
    <w:rsid w:val="00DD724A"/>
    <w:rsid w:val="00DE29CE"/>
    <w:rsid w:val="00DE2EF9"/>
    <w:rsid w:val="00DE36ED"/>
    <w:rsid w:val="00DE53F3"/>
    <w:rsid w:val="00DE7BCF"/>
    <w:rsid w:val="00DE7EC8"/>
    <w:rsid w:val="00DF0604"/>
    <w:rsid w:val="00DF241C"/>
    <w:rsid w:val="00DF65E7"/>
    <w:rsid w:val="00DF6E3D"/>
    <w:rsid w:val="00E004E7"/>
    <w:rsid w:val="00E00B43"/>
    <w:rsid w:val="00E01585"/>
    <w:rsid w:val="00E02455"/>
    <w:rsid w:val="00E049E4"/>
    <w:rsid w:val="00E06404"/>
    <w:rsid w:val="00E0675E"/>
    <w:rsid w:val="00E075FE"/>
    <w:rsid w:val="00E108DC"/>
    <w:rsid w:val="00E11371"/>
    <w:rsid w:val="00E11A4E"/>
    <w:rsid w:val="00E11E7D"/>
    <w:rsid w:val="00E12F31"/>
    <w:rsid w:val="00E147C1"/>
    <w:rsid w:val="00E14E41"/>
    <w:rsid w:val="00E16CCF"/>
    <w:rsid w:val="00E16D9D"/>
    <w:rsid w:val="00E16FE7"/>
    <w:rsid w:val="00E2003E"/>
    <w:rsid w:val="00E20202"/>
    <w:rsid w:val="00E2104A"/>
    <w:rsid w:val="00E21936"/>
    <w:rsid w:val="00E249CE"/>
    <w:rsid w:val="00E24D05"/>
    <w:rsid w:val="00E25FC2"/>
    <w:rsid w:val="00E262E1"/>
    <w:rsid w:val="00E2664E"/>
    <w:rsid w:val="00E26F81"/>
    <w:rsid w:val="00E274C4"/>
    <w:rsid w:val="00E305A0"/>
    <w:rsid w:val="00E30F68"/>
    <w:rsid w:val="00E3325F"/>
    <w:rsid w:val="00E338FF"/>
    <w:rsid w:val="00E35791"/>
    <w:rsid w:val="00E35C52"/>
    <w:rsid w:val="00E35FB8"/>
    <w:rsid w:val="00E36A79"/>
    <w:rsid w:val="00E41477"/>
    <w:rsid w:val="00E41B66"/>
    <w:rsid w:val="00E424A3"/>
    <w:rsid w:val="00E42603"/>
    <w:rsid w:val="00E426BB"/>
    <w:rsid w:val="00E42E4D"/>
    <w:rsid w:val="00E42F5D"/>
    <w:rsid w:val="00E4401B"/>
    <w:rsid w:val="00E444F8"/>
    <w:rsid w:val="00E46AA4"/>
    <w:rsid w:val="00E470A1"/>
    <w:rsid w:val="00E526FD"/>
    <w:rsid w:val="00E5281A"/>
    <w:rsid w:val="00E54951"/>
    <w:rsid w:val="00E54BD9"/>
    <w:rsid w:val="00E63F6E"/>
    <w:rsid w:val="00E64509"/>
    <w:rsid w:val="00E64DDB"/>
    <w:rsid w:val="00E74A38"/>
    <w:rsid w:val="00E7537B"/>
    <w:rsid w:val="00E77955"/>
    <w:rsid w:val="00E77D7F"/>
    <w:rsid w:val="00E81B98"/>
    <w:rsid w:val="00E82DC0"/>
    <w:rsid w:val="00E832D9"/>
    <w:rsid w:val="00E83F2B"/>
    <w:rsid w:val="00E840FF"/>
    <w:rsid w:val="00E8464F"/>
    <w:rsid w:val="00E84CBA"/>
    <w:rsid w:val="00E85C7B"/>
    <w:rsid w:val="00E86988"/>
    <w:rsid w:val="00E8703A"/>
    <w:rsid w:val="00E87C30"/>
    <w:rsid w:val="00E90A57"/>
    <w:rsid w:val="00E91314"/>
    <w:rsid w:val="00E914B1"/>
    <w:rsid w:val="00E9200A"/>
    <w:rsid w:val="00E9287F"/>
    <w:rsid w:val="00E93D57"/>
    <w:rsid w:val="00E93F4C"/>
    <w:rsid w:val="00E94E87"/>
    <w:rsid w:val="00E9516C"/>
    <w:rsid w:val="00E9563D"/>
    <w:rsid w:val="00E964AB"/>
    <w:rsid w:val="00EA0465"/>
    <w:rsid w:val="00EA3F82"/>
    <w:rsid w:val="00EA56C3"/>
    <w:rsid w:val="00EA5765"/>
    <w:rsid w:val="00EA5992"/>
    <w:rsid w:val="00EA59A0"/>
    <w:rsid w:val="00EA631B"/>
    <w:rsid w:val="00EA77F1"/>
    <w:rsid w:val="00EB09F3"/>
    <w:rsid w:val="00EB0AD8"/>
    <w:rsid w:val="00EB15D4"/>
    <w:rsid w:val="00EB31EB"/>
    <w:rsid w:val="00EB3BFD"/>
    <w:rsid w:val="00EB60A8"/>
    <w:rsid w:val="00EB611F"/>
    <w:rsid w:val="00EB6514"/>
    <w:rsid w:val="00EB6640"/>
    <w:rsid w:val="00EB6CE9"/>
    <w:rsid w:val="00EB6E41"/>
    <w:rsid w:val="00EC00D3"/>
    <w:rsid w:val="00EC2852"/>
    <w:rsid w:val="00EC41A6"/>
    <w:rsid w:val="00EC41EE"/>
    <w:rsid w:val="00EC5423"/>
    <w:rsid w:val="00EC691E"/>
    <w:rsid w:val="00EC69BB"/>
    <w:rsid w:val="00ED0731"/>
    <w:rsid w:val="00ED107B"/>
    <w:rsid w:val="00ED12FA"/>
    <w:rsid w:val="00ED141C"/>
    <w:rsid w:val="00ED1A23"/>
    <w:rsid w:val="00ED2E10"/>
    <w:rsid w:val="00ED6A7C"/>
    <w:rsid w:val="00ED76E4"/>
    <w:rsid w:val="00EE080A"/>
    <w:rsid w:val="00EE3D07"/>
    <w:rsid w:val="00EE5A34"/>
    <w:rsid w:val="00EE5EF4"/>
    <w:rsid w:val="00EF12AA"/>
    <w:rsid w:val="00EF23CC"/>
    <w:rsid w:val="00EF24B2"/>
    <w:rsid w:val="00EF3C38"/>
    <w:rsid w:val="00EF5D49"/>
    <w:rsid w:val="00EF682E"/>
    <w:rsid w:val="00F02459"/>
    <w:rsid w:val="00F02E0E"/>
    <w:rsid w:val="00F03575"/>
    <w:rsid w:val="00F03693"/>
    <w:rsid w:val="00F04188"/>
    <w:rsid w:val="00F0675C"/>
    <w:rsid w:val="00F07C5C"/>
    <w:rsid w:val="00F107F2"/>
    <w:rsid w:val="00F11122"/>
    <w:rsid w:val="00F115C6"/>
    <w:rsid w:val="00F11C19"/>
    <w:rsid w:val="00F13654"/>
    <w:rsid w:val="00F1493B"/>
    <w:rsid w:val="00F14A07"/>
    <w:rsid w:val="00F16406"/>
    <w:rsid w:val="00F1684C"/>
    <w:rsid w:val="00F21568"/>
    <w:rsid w:val="00F21D59"/>
    <w:rsid w:val="00F250F7"/>
    <w:rsid w:val="00F2520A"/>
    <w:rsid w:val="00F25B44"/>
    <w:rsid w:val="00F26356"/>
    <w:rsid w:val="00F26E96"/>
    <w:rsid w:val="00F36422"/>
    <w:rsid w:val="00F366A7"/>
    <w:rsid w:val="00F36CF4"/>
    <w:rsid w:val="00F4193B"/>
    <w:rsid w:val="00F42A1F"/>
    <w:rsid w:val="00F45A59"/>
    <w:rsid w:val="00F45DE4"/>
    <w:rsid w:val="00F46DA9"/>
    <w:rsid w:val="00F52431"/>
    <w:rsid w:val="00F530F2"/>
    <w:rsid w:val="00F556BD"/>
    <w:rsid w:val="00F6084A"/>
    <w:rsid w:val="00F61F6D"/>
    <w:rsid w:val="00F64944"/>
    <w:rsid w:val="00F6605D"/>
    <w:rsid w:val="00F66DAA"/>
    <w:rsid w:val="00F67503"/>
    <w:rsid w:val="00F67C9C"/>
    <w:rsid w:val="00F71AE9"/>
    <w:rsid w:val="00F7254E"/>
    <w:rsid w:val="00F7303C"/>
    <w:rsid w:val="00F7340D"/>
    <w:rsid w:val="00F735C9"/>
    <w:rsid w:val="00F74592"/>
    <w:rsid w:val="00F770F8"/>
    <w:rsid w:val="00F800B6"/>
    <w:rsid w:val="00F81129"/>
    <w:rsid w:val="00F81395"/>
    <w:rsid w:val="00F81AA6"/>
    <w:rsid w:val="00F83943"/>
    <w:rsid w:val="00F83A7B"/>
    <w:rsid w:val="00F85176"/>
    <w:rsid w:val="00F85B28"/>
    <w:rsid w:val="00F86911"/>
    <w:rsid w:val="00F86D9C"/>
    <w:rsid w:val="00F906C1"/>
    <w:rsid w:val="00F92388"/>
    <w:rsid w:val="00F929CD"/>
    <w:rsid w:val="00F95651"/>
    <w:rsid w:val="00F9672D"/>
    <w:rsid w:val="00F96935"/>
    <w:rsid w:val="00F96B1A"/>
    <w:rsid w:val="00FA0574"/>
    <w:rsid w:val="00FA0B7C"/>
    <w:rsid w:val="00FA182D"/>
    <w:rsid w:val="00FA2252"/>
    <w:rsid w:val="00FA4EE5"/>
    <w:rsid w:val="00FA5B4F"/>
    <w:rsid w:val="00FA6AA0"/>
    <w:rsid w:val="00FA7356"/>
    <w:rsid w:val="00FA7CEC"/>
    <w:rsid w:val="00FB21DC"/>
    <w:rsid w:val="00FB38BE"/>
    <w:rsid w:val="00FB5BC7"/>
    <w:rsid w:val="00FC1A09"/>
    <w:rsid w:val="00FC1A27"/>
    <w:rsid w:val="00FC31CE"/>
    <w:rsid w:val="00FC338B"/>
    <w:rsid w:val="00FC526A"/>
    <w:rsid w:val="00FC58A8"/>
    <w:rsid w:val="00FC75B3"/>
    <w:rsid w:val="00FD1A61"/>
    <w:rsid w:val="00FD1E85"/>
    <w:rsid w:val="00FD3C1C"/>
    <w:rsid w:val="00FD5748"/>
    <w:rsid w:val="00FD5A58"/>
    <w:rsid w:val="00FD5FCD"/>
    <w:rsid w:val="00FD60B1"/>
    <w:rsid w:val="00FD71F6"/>
    <w:rsid w:val="00FD7C29"/>
    <w:rsid w:val="00FD7DED"/>
    <w:rsid w:val="00FE0317"/>
    <w:rsid w:val="00FE29D8"/>
    <w:rsid w:val="00FE2A6F"/>
    <w:rsid w:val="00FE2E4E"/>
    <w:rsid w:val="00FE543F"/>
    <w:rsid w:val="00FE5AB4"/>
    <w:rsid w:val="00FE6146"/>
    <w:rsid w:val="00FE7222"/>
    <w:rsid w:val="00FF1529"/>
    <w:rsid w:val="00FF1729"/>
    <w:rsid w:val="00FF19F3"/>
    <w:rsid w:val="00FF1D1F"/>
    <w:rsid w:val="00FF232C"/>
    <w:rsid w:val="00FF3160"/>
    <w:rsid w:val="00FF5288"/>
    <w:rsid w:val="00FF7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colormenu v:ext="edit" fillcolor="none [2412]" strokecolor="none [3213]"/>
    </o:shapedefaults>
    <o:shapelayout v:ext="edit">
      <o:idmap v:ext="edit" data="1"/>
    </o:shapelayout>
  </w:shapeDefaults>
  <w:decimalSymbol w:val="."/>
  <w:listSeparator w:val=","/>
  <w14:docId w14:val="4FE90635"/>
  <w15:docId w15:val="{45308E5B-1CA3-4926-80EB-E2B0A954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39"/>
    <w:rPr>
      <w:rFonts w:ascii="Tahoma" w:hAnsi="Tahoma" w:cs="Tahoma"/>
      <w:sz w:val="16"/>
      <w:szCs w:val="16"/>
    </w:rPr>
  </w:style>
  <w:style w:type="paragraph" w:styleId="NoSpacing">
    <w:name w:val="No Spacing"/>
    <w:uiPriority w:val="1"/>
    <w:qFormat/>
    <w:rsid w:val="00A74CF7"/>
    <w:pPr>
      <w:spacing w:after="0" w:line="240" w:lineRule="auto"/>
    </w:pPr>
  </w:style>
  <w:style w:type="paragraph" w:styleId="ListParagraph">
    <w:name w:val="List Paragraph"/>
    <w:basedOn w:val="Normal"/>
    <w:uiPriority w:val="34"/>
    <w:qFormat/>
    <w:rsid w:val="008D118C"/>
    <w:pPr>
      <w:ind w:left="720"/>
      <w:contextualSpacing/>
    </w:pPr>
  </w:style>
  <w:style w:type="paragraph" w:styleId="Header">
    <w:name w:val="header"/>
    <w:basedOn w:val="Normal"/>
    <w:link w:val="HeaderChar"/>
    <w:uiPriority w:val="99"/>
    <w:unhideWhenUsed/>
    <w:rsid w:val="00F42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1F"/>
  </w:style>
  <w:style w:type="paragraph" w:styleId="Footer">
    <w:name w:val="footer"/>
    <w:basedOn w:val="Normal"/>
    <w:link w:val="FooterChar"/>
    <w:uiPriority w:val="99"/>
    <w:unhideWhenUsed/>
    <w:rsid w:val="00F42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1F"/>
  </w:style>
  <w:style w:type="character" w:styleId="Hyperlink">
    <w:name w:val="Hyperlink"/>
    <w:basedOn w:val="DefaultParagraphFont"/>
    <w:uiPriority w:val="99"/>
    <w:unhideWhenUsed/>
    <w:rsid w:val="00034CDD"/>
    <w:rPr>
      <w:color w:val="0000FF" w:themeColor="hyperlink"/>
      <w:u w:val="single"/>
    </w:rPr>
  </w:style>
  <w:style w:type="character" w:styleId="Emphasis">
    <w:name w:val="Emphasis"/>
    <w:basedOn w:val="DefaultParagraphFont"/>
    <w:uiPriority w:val="20"/>
    <w:qFormat/>
    <w:rsid w:val="0010464E"/>
    <w:rPr>
      <w:i/>
      <w:iCs/>
    </w:rPr>
  </w:style>
  <w:style w:type="paragraph" w:styleId="NormalWeb">
    <w:name w:val="Normal (Web)"/>
    <w:basedOn w:val="Normal"/>
    <w:uiPriority w:val="99"/>
    <w:unhideWhenUsed/>
    <w:rsid w:val="002B6963"/>
    <w:pPr>
      <w:spacing w:before="100" w:beforeAutospacing="1" w:after="100" w:afterAutospacing="1" w:line="240" w:lineRule="auto"/>
      <w:jc w:val="left"/>
    </w:pPr>
    <w:rPr>
      <w:rFonts w:ascii="Times New Roman" w:hAnsi="Times New Roman" w:cs="Times New Roman"/>
      <w:sz w:val="24"/>
      <w:szCs w:val="24"/>
      <w:lang w:eastAsia="en-AU"/>
    </w:rPr>
  </w:style>
  <w:style w:type="character" w:styleId="Strong">
    <w:name w:val="Strong"/>
    <w:basedOn w:val="DefaultParagraphFont"/>
    <w:uiPriority w:val="22"/>
    <w:qFormat/>
    <w:rsid w:val="008302FD"/>
    <w:rPr>
      <w:b/>
      <w:bCs/>
    </w:rPr>
  </w:style>
  <w:style w:type="character" w:customStyle="1" w:styleId="apple-converted-space">
    <w:name w:val="apple-converted-space"/>
    <w:basedOn w:val="DefaultParagraphFont"/>
    <w:rsid w:val="00426963"/>
  </w:style>
  <w:style w:type="character" w:customStyle="1" w:styleId="Mention1">
    <w:name w:val="Mention1"/>
    <w:basedOn w:val="DefaultParagraphFont"/>
    <w:uiPriority w:val="99"/>
    <w:semiHidden/>
    <w:unhideWhenUsed/>
    <w:rsid w:val="00970709"/>
    <w:rPr>
      <w:color w:val="2B579A"/>
      <w:shd w:val="clear" w:color="auto" w:fill="E6E6E6"/>
    </w:rPr>
  </w:style>
  <w:style w:type="paragraph" w:customStyle="1" w:styleId="ft06">
    <w:name w:val="ft06"/>
    <w:basedOn w:val="Normal"/>
    <w:rsid w:val="00CD313E"/>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1">
    <w:name w:val="ft01"/>
    <w:basedOn w:val="Normal"/>
    <w:rsid w:val="0078505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0">
    <w:name w:val="ft00"/>
    <w:basedOn w:val="Normal"/>
    <w:rsid w:val="00E25FC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2">
    <w:name w:val="ft02"/>
    <w:basedOn w:val="Normal"/>
    <w:rsid w:val="00E25FC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D92C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2C76"/>
    <w:rPr>
      <w:i/>
      <w:iCs/>
      <w:color w:val="404040" w:themeColor="text1" w:themeTint="BF"/>
    </w:rPr>
  </w:style>
  <w:style w:type="paragraph" w:styleId="EndnoteText">
    <w:name w:val="endnote text"/>
    <w:basedOn w:val="Normal"/>
    <w:link w:val="EndnoteTextChar"/>
    <w:uiPriority w:val="99"/>
    <w:semiHidden/>
    <w:unhideWhenUsed/>
    <w:rsid w:val="001D42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2C4"/>
    <w:rPr>
      <w:sz w:val="20"/>
      <w:szCs w:val="20"/>
    </w:rPr>
  </w:style>
  <w:style w:type="character" w:styleId="EndnoteReference">
    <w:name w:val="endnote reference"/>
    <w:basedOn w:val="DefaultParagraphFont"/>
    <w:uiPriority w:val="99"/>
    <w:semiHidden/>
    <w:unhideWhenUsed/>
    <w:rsid w:val="001D42C4"/>
    <w:rPr>
      <w:vertAlign w:val="superscript"/>
    </w:rPr>
  </w:style>
  <w:style w:type="paragraph" w:customStyle="1" w:styleId="ft05">
    <w:name w:val="ft05"/>
    <w:basedOn w:val="Normal"/>
    <w:rsid w:val="00421E7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11">
    <w:name w:val="ft011"/>
    <w:basedOn w:val="Normal"/>
    <w:rsid w:val="00421E7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4">
    <w:name w:val="ft04"/>
    <w:basedOn w:val="Normal"/>
    <w:rsid w:val="0005049B"/>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8">
    <w:name w:val="ft08"/>
    <w:basedOn w:val="Normal"/>
    <w:rsid w:val="00EB6E4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10">
    <w:name w:val="ft010"/>
    <w:basedOn w:val="Normal"/>
    <w:rsid w:val="0036137D"/>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9">
    <w:name w:val="ft09"/>
    <w:basedOn w:val="Normal"/>
    <w:rsid w:val="008F0EE8"/>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422">
      <w:bodyDiv w:val="1"/>
      <w:marLeft w:val="0"/>
      <w:marRight w:val="0"/>
      <w:marTop w:val="0"/>
      <w:marBottom w:val="0"/>
      <w:divBdr>
        <w:top w:val="none" w:sz="0" w:space="0" w:color="auto"/>
        <w:left w:val="none" w:sz="0" w:space="0" w:color="auto"/>
        <w:bottom w:val="none" w:sz="0" w:space="0" w:color="auto"/>
        <w:right w:val="none" w:sz="0" w:space="0" w:color="auto"/>
      </w:divBdr>
    </w:div>
    <w:div w:id="44263321">
      <w:bodyDiv w:val="1"/>
      <w:marLeft w:val="0"/>
      <w:marRight w:val="0"/>
      <w:marTop w:val="0"/>
      <w:marBottom w:val="0"/>
      <w:divBdr>
        <w:top w:val="none" w:sz="0" w:space="0" w:color="auto"/>
        <w:left w:val="none" w:sz="0" w:space="0" w:color="auto"/>
        <w:bottom w:val="none" w:sz="0" w:space="0" w:color="auto"/>
        <w:right w:val="none" w:sz="0" w:space="0" w:color="auto"/>
      </w:divBdr>
    </w:div>
    <w:div w:id="71969893">
      <w:bodyDiv w:val="1"/>
      <w:marLeft w:val="0"/>
      <w:marRight w:val="0"/>
      <w:marTop w:val="0"/>
      <w:marBottom w:val="0"/>
      <w:divBdr>
        <w:top w:val="none" w:sz="0" w:space="0" w:color="auto"/>
        <w:left w:val="none" w:sz="0" w:space="0" w:color="auto"/>
        <w:bottom w:val="none" w:sz="0" w:space="0" w:color="auto"/>
        <w:right w:val="none" w:sz="0" w:space="0" w:color="auto"/>
      </w:divBdr>
    </w:div>
    <w:div w:id="86970566">
      <w:bodyDiv w:val="1"/>
      <w:marLeft w:val="0"/>
      <w:marRight w:val="0"/>
      <w:marTop w:val="0"/>
      <w:marBottom w:val="0"/>
      <w:divBdr>
        <w:top w:val="none" w:sz="0" w:space="0" w:color="auto"/>
        <w:left w:val="none" w:sz="0" w:space="0" w:color="auto"/>
        <w:bottom w:val="none" w:sz="0" w:space="0" w:color="auto"/>
        <w:right w:val="none" w:sz="0" w:space="0" w:color="auto"/>
      </w:divBdr>
    </w:div>
    <w:div w:id="153836168">
      <w:bodyDiv w:val="1"/>
      <w:marLeft w:val="0"/>
      <w:marRight w:val="0"/>
      <w:marTop w:val="0"/>
      <w:marBottom w:val="0"/>
      <w:divBdr>
        <w:top w:val="none" w:sz="0" w:space="0" w:color="auto"/>
        <w:left w:val="none" w:sz="0" w:space="0" w:color="auto"/>
        <w:bottom w:val="none" w:sz="0" w:space="0" w:color="auto"/>
        <w:right w:val="none" w:sz="0" w:space="0" w:color="auto"/>
      </w:divBdr>
    </w:div>
    <w:div w:id="176307159">
      <w:bodyDiv w:val="1"/>
      <w:marLeft w:val="0"/>
      <w:marRight w:val="0"/>
      <w:marTop w:val="0"/>
      <w:marBottom w:val="0"/>
      <w:divBdr>
        <w:top w:val="none" w:sz="0" w:space="0" w:color="auto"/>
        <w:left w:val="none" w:sz="0" w:space="0" w:color="auto"/>
        <w:bottom w:val="none" w:sz="0" w:space="0" w:color="auto"/>
        <w:right w:val="none" w:sz="0" w:space="0" w:color="auto"/>
      </w:divBdr>
    </w:div>
    <w:div w:id="262149586">
      <w:bodyDiv w:val="1"/>
      <w:marLeft w:val="0"/>
      <w:marRight w:val="0"/>
      <w:marTop w:val="0"/>
      <w:marBottom w:val="0"/>
      <w:divBdr>
        <w:top w:val="none" w:sz="0" w:space="0" w:color="auto"/>
        <w:left w:val="none" w:sz="0" w:space="0" w:color="auto"/>
        <w:bottom w:val="none" w:sz="0" w:space="0" w:color="auto"/>
        <w:right w:val="none" w:sz="0" w:space="0" w:color="auto"/>
      </w:divBdr>
    </w:div>
    <w:div w:id="266155293">
      <w:bodyDiv w:val="1"/>
      <w:marLeft w:val="0"/>
      <w:marRight w:val="0"/>
      <w:marTop w:val="0"/>
      <w:marBottom w:val="0"/>
      <w:divBdr>
        <w:top w:val="none" w:sz="0" w:space="0" w:color="auto"/>
        <w:left w:val="none" w:sz="0" w:space="0" w:color="auto"/>
        <w:bottom w:val="none" w:sz="0" w:space="0" w:color="auto"/>
        <w:right w:val="none" w:sz="0" w:space="0" w:color="auto"/>
      </w:divBdr>
    </w:div>
    <w:div w:id="312804010">
      <w:bodyDiv w:val="1"/>
      <w:marLeft w:val="0"/>
      <w:marRight w:val="0"/>
      <w:marTop w:val="0"/>
      <w:marBottom w:val="0"/>
      <w:divBdr>
        <w:top w:val="none" w:sz="0" w:space="0" w:color="auto"/>
        <w:left w:val="none" w:sz="0" w:space="0" w:color="auto"/>
        <w:bottom w:val="none" w:sz="0" w:space="0" w:color="auto"/>
        <w:right w:val="none" w:sz="0" w:space="0" w:color="auto"/>
      </w:divBdr>
    </w:div>
    <w:div w:id="349333436">
      <w:bodyDiv w:val="1"/>
      <w:marLeft w:val="0"/>
      <w:marRight w:val="0"/>
      <w:marTop w:val="0"/>
      <w:marBottom w:val="0"/>
      <w:divBdr>
        <w:top w:val="none" w:sz="0" w:space="0" w:color="auto"/>
        <w:left w:val="none" w:sz="0" w:space="0" w:color="auto"/>
        <w:bottom w:val="none" w:sz="0" w:space="0" w:color="auto"/>
        <w:right w:val="none" w:sz="0" w:space="0" w:color="auto"/>
      </w:divBdr>
    </w:div>
    <w:div w:id="402263666">
      <w:bodyDiv w:val="1"/>
      <w:marLeft w:val="0"/>
      <w:marRight w:val="0"/>
      <w:marTop w:val="0"/>
      <w:marBottom w:val="0"/>
      <w:divBdr>
        <w:top w:val="none" w:sz="0" w:space="0" w:color="auto"/>
        <w:left w:val="none" w:sz="0" w:space="0" w:color="auto"/>
        <w:bottom w:val="none" w:sz="0" w:space="0" w:color="auto"/>
        <w:right w:val="none" w:sz="0" w:space="0" w:color="auto"/>
      </w:divBdr>
    </w:div>
    <w:div w:id="498084331">
      <w:bodyDiv w:val="1"/>
      <w:marLeft w:val="0"/>
      <w:marRight w:val="0"/>
      <w:marTop w:val="0"/>
      <w:marBottom w:val="0"/>
      <w:divBdr>
        <w:top w:val="none" w:sz="0" w:space="0" w:color="auto"/>
        <w:left w:val="none" w:sz="0" w:space="0" w:color="auto"/>
        <w:bottom w:val="none" w:sz="0" w:space="0" w:color="auto"/>
        <w:right w:val="none" w:sz="0" w:space="0" w:color="auto"/>
      </w:divBdr>
    </w:div>
    <w:div w:id="510070650">
      <w:bodyDiv w:val="1"/>
      <w:marLeft w:val="0"/>
      <w:marRight w:val="0"/>
      <w:marTop w:val="0"/>
      <w:marBottom w:val="0"/>
      <w:divBdr>
        <w:top w:val="none" w:sz="0" w:space="0" w:color="auto"/>
        <w:left w:val="none" w:sz="0" w:space="0" w:color="auto"/>
        <w:bottom w:val="none" w:sz="0" w:space="0" w:color="auto"/>
        <w:right w:val="none" w:sz="0" w:space="0" w:color="auto"/>
      </w:divBdr>
    </w:div>
    <w:div w:id="533732522">
      <w:bodyDiv w:val="1"/>
      <w:marLeft w:val="0"/>
      <w:marRight w:val="0"/>
      <w:marTop w:val="0"/>
      <w:marBottom w:val="0"/>
      <w:divBdr>
        <w:top w:val="none" w:sz="0" w:space="0" w:color="auto"/>
        <w:left w:val="none" w:sz="0" w:space="0" w:color="auto"/>
        <w:bottom w:val="none" w:sz="0" w:space="0" w:color="auto"/>
        <w:right w:val="none" w:sz="0" w:space="0" w:color="auto"/>
      </w:divBdr>
    </w:div>
    <w:div w:id="595021234">
      <w:bodyDiv w:val="1"/>
      <w:marLeft w:val="0"/>
      <w:marRight w:val="0"/>
      <w:marTop w:val="0"/>
      <w:marBottom w:val="0"/>
      <w:divBdr>
        <w:top w:val="none" w:sz="0" w:space="0" w:color="auto"/>
        <w:left w:val="none" w:sz="0" w:space="0" w:color="auto"/>
        <w:bottom w:val="none" w:sz="0" w:space="0" w:color="auto"/>
        <w:right w:val="none" w:sz="0" w:space="0" w:color="auto"/>
      </w:divBdr>
    </w:div>
    <w:div w:id="595597569">
      <w:bodyDiv w:val="1"/>
      <w:marLeft w:val="0"/>
      <w:marRight w:val="0"/>
      <w:marTop w:val="0"/>
      <w:marBottom w:val="0"/>
      <w:divBdr>
        <w:top w:val="none" w:sz="0" w:space="0" w:color="auto"/>
        <w:left w:val="none" w:sz="0" w:space="0" w:color="auto"/>
        <w:bottom w:val="none" w:sz="0" w:space="0" w:color="auto"/>
        <w:right w:val="none" w:sz="0" w:space="0" w:color="auto"/>
      </w:divBdr>
    </w:div>
    <w:div w:id="607271782">
      <w:bodyDiv w:val="1"/>
      <w:marLeft w:val="0"/>
      <w:marRight w:val="0"/>
      <w:marTop w:val="0"/>
      <w:marBottom w:val="0"/>
      <w:divBdr>
        <w:top w:val="none" w:sz="0" w:space="0" w:color="auto"/>
        <w:left w:val="none" w:sz="0" w:space="0" w:color="auto"/>
        <w:bottom w:val="none" w:sz="0" w:space="0" w:color="auto"/>
        <w:right w:val="none" w:sz="0" w:space="0" w:color="auto"/>
      </w:divBdr>
    </w:div>
    <w:div w:id="679505415">
      <w:bodyDiv w:val="1"/>
      <w:marLeft w:val="0"/>
      <w:marRight w:val="0"/>
      <w:marTop w:val="0"/>
      <w:marBottom w:val="0"/>
      <w:divBdr>
        <w:top w:val="none" w:sz="0" w:space="0" w:color="auto"/>
        <w:left w:val="none" w:sz="0" w:space="0" w:color="auto"/>
        <w:bottom w:val="none" w:sz="0" w:space="0" w:color="auto"/>
        <w:right w:val="none" w:sz="0" w:space="0" w:color="auto"/>
      </w:divBdr>
    </w:div>
    <w:div w:id="720324478">
      <w:bodyDiv w:val="1"/>
      <w:marLeft w:val="0"/>
      <w:marRight w:val="0"/>
      <w:marTop w:val="0"/>
      <w:marBottom w:val="0"/>
      <w:divBdr>
        <w:top w:val="none" w:sz="0" w:space="0" w:color="auto"/>
        <w:left w:val="none" w:sz="0" w:space="0" w:color="auto"/>
        <w:bottom w:val="none" w:sz="0" w:space="0" w:color="auto"/>
        <w:right w:val="none" w:sz="0" w:space="0" w:color="auto"/>
      </w:divBdr>
    </w:div>
    <w:div w:id="725840201">
      <w:bodyDiv w:val="1"/>
      <w:marLeft w:val="0"/>
      <w:marRight w:val="0"/>
      <w:marTop w:val="0"/>
      <w:marBottom w:val="0"/>
      <w:divBdr>
        <w:top w:val="none" w:sz="0" w:space="0" w:color="auto"/>
        <w:left w:val="none" w:sz="0" w:space="0" w:color="auto"/>
        <w:bottom w:val="none" w:sz="0" w:space="0" w:color="auto"/>
        <w:right w:val="none" w:sz="0" w:space="0" w:color="auto"/>
      </w:divBdr>
    </w:div>
    <w:div w:id="746028750">
      <w:bodyDiv w:val="1"/>
      <w:marLeft w:val="0"/>
      <w:marRight w:val="0"/>
      <w:marTop w:val="0"/>
      <w:marBottom w:val="0"/>
      <w:divBdr>
        <w:top w:val="none" w:sz="0" w:space="0" w:color="auto"/>
        <w:left w:val="none" w:sz="0" w:space="0" w:color="auto"/>
        <w:bottom w:val="none" w:sz="0" w:space="0" w:color="auto"/>
        <w:right w:val="none" w:sz="0" w:space="0" w:color="auto"/>
      </w:divBdr>
    </w:div>
    <w:div w:id="749423104">
      <w:bodyDiv w:val="1"/>
      <w:marLeft w:val="0"/>
      <w:marRight w:val="0"/>
      <w:marTop w:val="0"/>
      <w:marBottom w:val="0"/>
      <w:divBdr>
        <w:top w:val="none" w:sz="0" w:space="0" w:color="auto"/>
        <w:left w:val="none" w:sz="0" w:space="0" w:color="auto"/>
        <w:bottom w:val="none" w:sz="0" w:space="0" w:color="auto"/>
        <w:right w:val="none" w:sz="0" w:space="0" w:color="auto"/>
      </w:divBdr>
    </w:div>
    <w:div w:id="778722306">
      <w:bodyDiv w:val="1"/>
      <w:marLeft w:val="0"/>
      <w:marRight w:val="0"/>
      <w:marTop w:val="0"/>
      <w:marBottom w:val="0"/>
      <w:divBdr>
        <w:top w:val="none" w:sz="0" w:space="0" w:color="auto"/>
        <w:left w:val="none" w:sz="0" w:space="0" w:color="auto"/>
        <w:bottom w:val="none" w:sz="0" w:space="0" w:color="auto"/>
        <w:right w:val="none" w:sz="0" w:space="0" w:color="auto"/>
      </w:divBdr>
    </w:div>
    <w:div w:id="781418492">
      <w:bodyDiv w:val="1"/>
      <w:marLeft w:val="0"/>
      <w:marRight w:val="0"/>
      <w:marTop w:val="0"/>
      <w:marBottom w:val="0"/>
      <w:divBdr>
        <w:top w:val="none" w:sz="0" w:space="0" w:color="auto"/>
        <w:left w:val="none" w:sz="0" w:space="0" w:color="auto"/>
        <w:bottom w:val="none" w:sz="0" w:space="0" w:color="auto"/>
        <w:right w:val="none" w:sz="0" w:space="0" w:color="auto"/>
      </w:divBdr>
    </w:div>
    <w:div w:id="872301752">
      <w:bodyDiv w:val="1"/>
      <w:marLeft w:val="0"/>
      <w:marRight w:val="0"/>
      <w:marTop w:val="0"/>
      <w:marBottom w:val="0"/>
      <w:divBdr>
        <w:top w:val="none" w:sz="0" w:space="0" w:color="auto"/>
        <w:left w:val="none" w:sz="0" w:space="0" w:color="auto"/>
        <w:bottom w:val="none" w:sz="0" w:space="0" w:color="auto"/>
        <w:right w:val="none" w:sz="0" w:space="0" w:color="auto"/>
      </w:divBdr>
    </w:div>
    <w:div w:id="886532093">
      <w:bodyDiv w:val="1"/>
      <w:marLeft w:val="0"/>
      <w:marRight w:val="0"/>
      <w:marTop w:val="0"/>
      <w:marBottom w:val="0"/>
      <w:divBdr>
        <w:top w:val="none" w:sz="0" w:space="0" w:color="auto"/>
        <w:left w:val="none" w:sz="0" w:space="0" w:color="auto"/>
        <w:bottom w:val="none" w:sz="0" w:space="0" w:color="auto"/>
        <w:right w:val="none" w:sz="0" w:space="0" w:color="auto"/>
      </w:divBdr>
    </w:div>
    <w:div w:id="943999078">
      <w:bodyDiv w:val="1"/>
      <w:marLeft w:val="0"/>
      <w:marRight w:val="0"/>
      <w:marTop w:val="0"/>
      <w:marBottom w:val="0"/>
      <w:divBdr>
        <w:top w:val="none" w:sz="0" w:space="0" w:color="auto"/>
        <w:left w:val="none" w:sz="0" w:space="0" w:color="auto"/>
        <w:bottom w:val="none" w:sz="0" w:space="0" w:color="auto"/>
        <w:right w:val="none" w:sz="0" w:space="0" w:color="auto"/>
      </w:divBdr>
    </w:div>
    <w:div w:id="955058899">
      <w:bodyDiv w:val="1"/>
      <w:marLeft w:val="0"/>
      <w:marRight w:val="0"/>
      <w:marTop w:val="0"/>
      <w:marBottom w:val="0"/>
      <w:divBdr>
        <w:top w:val="none" w:sz="0" w:space="0" w:color="auto"/>
        <w:left w:val="none" w:sz="0" w:space="0" w:color="auto"/>
        <w:bottom w:val="none" w:sz="0" w:space="0" w:color="auto"/>
        <w:right w:val="none" w:sz="0" w:space="0" w:color="auto"/>
      </w:divBdr>
    </w:div>
    <w:div w:id="959916372">
      <w:bodyDiv w:val="1"/>
      <w:marLeft w:val="0"/>
      <w:marRight w:val="0"/>
      <w:marTop w:val="0"/>
      <w:marBottom w:val="0"/>
      <w:divBdr>
        <w:top w:val="none" w:sz="0" w:space="0" w:color="auto"/>
        <w:left w:val="none" w:sz="0" w:space="0" w:color="auto"/>
        <w:bottom w:val="none" w:sz="0" w:space="0" w:color="auto"/>
        <w:right w:val="none" w:sz="0" w:space="0" w:color="auto"/>
      </w:divBdr>
    </w:div>
    <w:div w:id="962006093">
      <w:bodyDiv w:val="1"/>
      <w:marLeft w:val="0"/>
      <w:marRight w:val="0"/>
      <w:marTop w:val="0"/>
      <w:marBottom w:val="0"/>
      <w:divBdr>
        <w:top w:val="none" w:sz="0" w:space="0" w:color="auto"/>
        <w:left w:val="none" w:sz="0" w:space="0" w:color="auto"/>
        <w:bottom w:val="none" w:sz="0" w:space="0" w:color="auto"/>
        <w:right w:val="none" w:sz="0" w:space="0" w:color="auto"/>
      </w:divBdr>
    </w:div>
    <w:div w:id="980422640">
      <w:bodyDiv w:val="1"/>
      <w:marLeft w:val="0"/>
      <w:marRight w:val="0"/>
      <w:marTop w:val="0"/>
      <w:marBottom w:val="0"/>
      <w:divBdr>
        <w:top w:val="none" w:sz="0" w:space="0" w:color="auto"/>
        <w:left w:val="none" w:sz="0" w:space="0" w:color="auto"/>
        <w:bottom w:val="none" w:sz="0" w:space="0" w:color="auto"/>
        <w:right w:val="none" w:sz="0" w:space="0" w:color="auto"/>
      </w:divBdr>
    </w:div>
    <w:div w:id="985009534">
      <w:bodyDiv w:val="1"/>
      <w:marLeft w:val="0"/>
      <w:marRight w:val="0"/>
      <w:marTop w:val="0"/>
      <w:marBottom w:val="0"/>
      <w:divBdr>
        <w:top w:val="none" w:sz="0" w:space="0" w:color="auto"/>
        <w:left w:val="none" w:sz="0" w:space="0" w:color="auto"/>
        <w:bottom w:val="none" w:sz="0" w:space="0" w:color="auto"/>
        <w:right w:val="none" w:sz="0" w:space="0" w:color="auto"/>
      </w:divBdr>
    </w:div>
    <w:div w:id="1027096519">
      <w:bodyDiv w:val="1"/>
      <w:marLeft w:val="0"/>
      <w:marRight w:val="0"/>
      <w:marTop w:val="0"/>
      <w:marBottom w:val="0"/>
      <w:divBdr>
        <w:top w:val="none" w:sz="0" w:space="0" w:color="auto"/>
        <w:left w:val="none" w:sz="0" w:space="0" w:color="auto"/>
        <w:bottom w:val="none" w:sz="0" w:space="0" w:color="auto"/>
        <w:right w:val="none" w:sz="0" w:space="0" w:color="auto"/>
      </w:divBdr>
    </w:div>
    <w:div w:id="1044989973">
      <w:bodyDiv w:val="1"/>
      <w:marLeft w:val="0"/>
      <w:marRight w:val="0"/>
      <w:marTop w:val="0"/>
      <w:marBottom w:val="0"/>
      <w:divBdr>
        <w:top w:val="none" w:sz="0" w:space="0" w:color="auto"/>
        <w:left w:val="none" w:sz="0" w:space="0" w:color="auto"/>
        <w:bottom w:val="none" w:sz="0" w:space="0" w:color="auto"/>
        <w:right w:val="none" w:sz="0" w:space="0" w:color="auto"/>
      </w:divBdr>
    </w:div>
    <w:div w:id="1126893185">
      <w:bodyDiv w:val="1"/>
      <w:marLeft w:val="0"/>
      <w:marRight w:val="0"/>
      <w:marTop w:val="0"/>
      <w:marBottom w:val="0"/>
      <w:divBdr>
        <w:top w:val="none" w:sz="0" w:space="0" w:color="auto"/>
        <w:left w:val="none" w:sz="0" w:space="0" w:color="auto"/>
        <w:bottom w:val="none" w:sz="0" w:space="0" w:color="auto"/>
        <w:right w:val="none" w:sz="0" w:space="0" w:color="auto"/>
      </w:divBdr>
    </w:div>
    <w:div w:id="1183518725">
      <w:bodyDiv w:val="1"/>
      <w:marLeft w:val="0"/>
      <w:marRight w:val="0"/>
      <w:marTop w:val="0"/>
      <w:marBottom w:val="0"/>
      <w:divBdr>
        <w:top w:val="none" w:sz="0" w:space="0" w:color="auto"/>
        <w:left w:val="none" w:sz="0" w:space="0" w:color="auto"/>
        <w:bottom w:val="none" w:sz="0" w:space="0" w:color="auto"/>
        <w:right w:val="none" w:sz="0" w:space="0" w:color="auto"/>
      </w:divBdr>
    </w:div>
    <w:div w:id="1196044657">
      <w:bodyDiv w:val="1"/>
      <w:marLeft w:val="0"/>
      <w:marRight w:val="0"/>
      <w:marTop w:val="0"/>
      <w:marBottom w:val="0"/>
      <w:divBdr>
        <w:top w:val="none" w:sz="0" w:space="0" w:color="auto"/>
        <w:left w:val="none" w:sz="0" w:space="0" w:color="auto"/>
        <w:bottom w:val="none" w:sz="0" w:space="0" w:color="auto"/>
        <w:right w:val="none" w:sz="0" w:space="0" w:color="auto"/>
      </w:divBdr>
    </w:div>
    <w:div w:id="1235892143">
      <w:bodyDiv w:val="1"/>
      <w:marLeft w:val="0"/>
      <w:marRight w:val="0"/>
      <w:marTop w:val="0"/>
      <w:marBottom w:val="0"/>
      <w:divBdr>
        <w:top w:val="none" w:sz="0" w:space="0" w:color="auto"/>
        <w:left w:val="none" w:sz="0" w:space="0" w:color="auto"/>
        <w:bottom w:val="none" w:sz="0" w:space="0" w:color="auto"/>
        <w:right w:val="none" w:sz="0" w:space="0" w:color="auto"/>
      </w:divBdr>
    </w:div>
    <w:div w:id="1258101986">
      <w:bodyDiv w:val="1"/>
      <w:marLeft w:val="0"/>
      <w:marRight w:val="0"/>
      <w:marTop w:val="0"/>
      <w:marBottom w:val="0"/>
      <w:divBdr>
        <w:top w:val="none" w:sz="0" w:space="0" w:color="auto"/>
        <w:left w:val="none" w:sz="0" w:space="0" w:color="auto"/>
        <w:bottom w:val="none" w:sz="0" w:space="0" w:color="auto"/>
        <w:right w:val="none" w:sz="0" w:space="0" w:color="auto"/>
      </w:divBdr>
    </w:div>
    <w:div w:id="1275672129">
      <w:bodyDiv w:val="1"/>
      <w:marLeft w:val="0"/>
      <w:marRight w:val="0"/>
      <w:marTop w:val="0"/>
      <w:marBottom w:val="0"/>
      <w:divBdr>
        <w:top w:val="none" w:sz="0" w:space="0" w:color="auto"/>
        <w:left w:val="none" w:sz="0" w:space="0" w:color="auto"/>
        <w:bottom w:val="none" w:sz="0" w:space="0" w:color="auto"/>
        <w:right w:val="none" w:sz="0" w:space="0" w:color="auto"/>
      </w:divBdr>
    </w:div>
    <w:div w:id="1280647445">
      <w:bodyDiv w:val="1"/>
      <w:marLeft w:val="0"/>
      <w:marRight w:val="0"/>
      <w:marTop w:val="0"/>
      <w:marBottom w:val="0"/>
      <w:divBdr>
        <w:top w:val="none" w:sz="0" w:space="0" w:color="auto"/>
        <w:left w:val="none" w:sz="0" w:space="0" w:color="auto"/>
        <w:bottom w:val="none" w:sz="0" w:space="0" w:color="auto"/>
        <w:right w:val="none" w:sz="0" w:space="0" w:color="auto"/>
      </w:divBdr>
    </w:div>
    <w:div w:id="1293705411">
      <w:bodyDiv w:val="1"/>
      <w:marLeft w:val="0"/>
      <w:marRight w:val="0"/>
      <w:marTop w:val="0"/>
      <w:marBottom w:val="0"/>
      <w:divBdr>
        <w:top w:val="none" w:sz="0" w:space="0" w:color="auto"/>
        <w:left w:val="none" w:sz="0" w:space="0" w:color="auto"/>
        <w:bottom w:val="none" w:sz="0" w:space="0" w:color="auto"/>
        <w:right w:val="none" w:sz="0" w:space="0" w:color="auto"/>
      </w:divBdr>
    </w:div>
    <w:div w:id="1329678098">
      <w:bodyDiv w:val="1"/>
      <w:marLeft w:val="0"/>
      <w:marRight w:val="0"/>
      <w:marTop w:val="0"/>
      <w:marBottom w:val="0"/>
      <w:divBdr>
        <w:top w:val="none" w:sz="0" w:space="0" w:color="auto"/>
        <w:left w:val="none" w:sz="0" w:space="0" w:color="auto"/>
        <w:bottom w:val="none" w:sz="0" w:space="0" w:color="auto"/>
        <w:right w:val="none" w:sz="0" w:space="0" w:color="auto"/>
      </w:divBdr>
    </w:div>
    <w:div w:id="1329869665">
      <w:bodyDiv w:val="1"/>
      <w:marLeft w:val="0"/>
      <w:marRight w:val="0"/>
      <w:marTop w:val="0"/>
      <w:marBottom w:val="0"/>
      <w:divBdr>
        <w:top w:val="none" w:sz="0" w:space="0" w:color="auto"/>
        <w:left w:val="none" w:sz="0" w:space="0" w:color="auto"/>
        <w:bottom w:val="none" w:sz="0" w:space="0" w:color="auto"/>
        <w:right w:val="none" w:sz="0" w:space="0" w:color="auto"/>
      </w:divBdr>
    </w:div>
    <w:div w:id="1365905546">
      <w:bodyDiv w:val="1"/>
      <w:marLeft w:val="0"/>
      <w:marRight w:val="0"/>
      <w:marTop w:val="0"/>
      <w:marBottom w:val="0"/>
      <w:divBdr>
        <w:top w:val="none" w:sz="0" w:space="0" w:color="auto"/>
        <w:left w:val="none" w:sz="0" w:space="0" w:color="auto"/>
        <w:bottom w:val="none" w:sz="0" w:space="0" w:color="auto"/>
        <w:right w:val="none" w:sz="0" w:space="0" w:color="auto"/>
      </w:divBdr>
    </w:div>
    <w:div w:id="1394743496">
      <w:bodyDiv w:val="1"/>
      <w:marLeft w:val="0"/>
      <w:marRight w:val="0"/>
      <w:marTop w:val="0"/>
      <w:marBottom w:val="0"/>
      <w:divBdr>
        <w:top w:val="none" w:sz="0" w:space="0" w:color="auto"/>
        <w:left w:val="none" w:sz="0" w:space="0" w:color="auto"/>
        <w:bottom w:val="none" w:sz="0" w:space="0" w:color="auto"/>
        <w:right w:val="none" w:sz="0" w:space="0" w:color="auto"/>
      </w:divBdr>
    </w:div>
    <w:div w:id="1416975089">
      <w:bodyDiv w:val="1"/>
      <w:marLeft w:val="0"/>
      <w:marRight w:val="0"/>
      <w:marTop w:val="0"/>
      <w:marBottom w:val="0"/>
      <w:divBdr>
        <w:top w:val="none" w:sz="0" w:space="0" w:color="auto"/>
        <w:left w:val="none" w:sz="0" w:space="0" w:color="auto"/>
        <w:bottom w:val="none" w:sz="0" w:space="0" w:color="auto"/>
        <w:right w:val="none" w:sz="0" w:space="0" w:color="auto"/>
      </w:divBdr>
    </w:div>
    <w:div w:id="1419213313">
      <w:bodyDiv w:val="1"/>
      <w:marLeft w:val="0"/>
      <w:marRight w:val="0"/>
      <w:marTop w:val="0"/>
      <w:marBottom w:val="0"/>
      <w:divBdr>
        <w:top w:val="none" w:sz="0" w:space="0" w:color="auto"/>
        <w:left w:val="none" w:sz="0" w:space="0" w:color="auto"/>
        <w:bottom w:val="none" w:sz="0" w:space="0" w:color="auto"/>
        <w:right w:val="none" w:sz="0" w:space="0" w:color="auto"/>
      </w:divBdr>
    </w:div>
    <w:div w:id="1420714821">
      <w:bodyDiv w:val="1"/>
      <w:marLeft w:val="0"/>
      <w:marRight w:val="0"/>
      <w:marTop w:val="0"/>
      <w:marBottom w:val="0"/>
      <w:divBdr>
        <w:top w:val="none" w:sz="0" w:space="0" w:color="auto"/>
        <w:left w:val="none" w:sz="0" w:space="0" w:color="auto"/>
        <w:bottom w:val="none" w:sz="0" w:space="0" w:color="auto"/>
        <w:right w:val="none" w:sz="0" w:space="0" w:color="auto"/>
      </w:divBdr>
    </w:div>
    <w:div w:id="1434280501">
      <w:bodyDiv w:val="1"/>
      <w:marLeft w:val="0"/>
      <w:marRight w:val="0"/>
      <w:marTop w:val="0"/>
      <w:marBottom w:val="0"/>
      <w:divBdr>
        <w:top w:val="none" w:sz="0" w:space="0" w:color="auto"/>
        <w:left w:val="none" w:sz="0" w:space="0" w:color="auto"/>
        <w:bottom w:val="none" w:sz="0" w:space="0" w:color="auto"/>
        <w:right w:val="none" w:sz="0" w:space="0" w:color="auto"/>
      </w:divBdr>
    </w:div>
    <w:div w:id="1438255858">
      <w:bodyDiv w:val="1"/>
      <w:marLeft w:val="0"/>
      <w:marRight w:val="0"/>
      <w:marTop w:val="0"/>
      <w:marBottom w:val="0"/>
      <w:divBdr>
        <w:top w:val="none" w:sz="0" w:space="0" w:color="auto"/>
        <w:left w:val="none" w:sz="0" w:space="0" w:color="auto"/>
        <w:bottom w:val="none" w:sz="0" w:space="0" w:color="auto"/>
        <w:right w:val="none" w:sz="0" w:space="0" w:color="auto"/>
      </w:divBdr>
    </w:div>
    <w:div w:id="1442604877">
      <w:bodyDiv w:val="1"/>
      <w:marLeft w:val="0"/>
      <w:marRight w:val="0"/>
      <w:marTop w:val="0"/>
      <w:marBottom w:val="0"/>
      <w:divBdr>
        <w:top w:val="none" w:sz="0" w:space="0" w:color="auto"/>
        <w:left w:val="none" w:sz="0" w:space="0" w:color="auto"/>
        <w:bottom w:val="none" w:sz="0" w:space="0" w:color="auto"/>
        <w:right w:val="none" w:sz="0" w:space="0" w:color="auto"/>
      </w:divBdr>
    </w:div>
    <w:div w:id="1448695821">
      <w:bodyDiv w:val="1"/>
      <w:marLeft w:val="0"/>
      <w:marRight w:val="0"/>
      <w:marTop w:val="0"/>
      <w:marBottom w:val="0"/>
      <w:divBdr>
        <w:top w:val="none" w:sz="0" w:space="0" w:color="auto"/>
        <w:left w:val="none" w:sz="0" w:space="0" w:color="auto"/>
        <w:bottom w:val="none" w:sz="0" w:space="0" w:color="auto"/>
        <w:right w:val="none" w:sz="0" w:space="0" w:color="auto"/>
      </w:divBdr>
    </w:div>
    <w:div w:id="1456019264">
      <w:bodyDiv w:val="1"/>
      <w:marLeft w:val="0"/>
      <w:marRight w:val="0"/>
      <w:marTop w:val="0"/>
      <w:marBottom w:val="0"/>
      <w:divBdr>
        <w:top w:val="none" w:sz="0" w:space="0" w:color="auto"/>
        <w:left w:val="none" w:sz="0" w:space="0" w:color="auto"/>
        <w:bottom w:val="none" w:sz="0" w:space="0" w:color="auto"/>
        <w:right w:val="none" w:sz="0" w:space="0" w:color="auto"/>
      </w:divBdr>
    </w:div>
    <w:div w:id="1465272925">
      <w:bodyDiv w:val="1"/>
      <w:marLeft w:val="0"/>
      <w:marRight w:val="0"/>
      <w:marTop w:val="0"/>
      <w:marBottom w:val="0"/>
      <w:divBdr>
        <w:top w:val="none" w:sz="0" w:space="0" w:color="auto"/>
        <w:left w:val="none" w:sz="0" w:space="0" w:color="auto"/>
        <w:bottom w:val="none" w:sz="0" w:space="0" w:color="auto"/>
        <w:right w:val="none" w:sz="0" w:space="0" w:color="auto"/>
      </w:divBdr>
    </w:div>
    <w:div w:id="1572764407">
      <w:bodyDiv w:val="1"/>
      <w:marLeft w:val="0"/>
      <w:marRight w:val="0"/>
      <w:marTop w:val="0"/>
      <w:marBottom w:val="0"/>
      <w:divBdr>
        <w:top w:val="none" w:sz="0" w:space="0" w:color="auto"/>
        <w:left w:val="none" w:sz="0" w:space="0" w:color="auto"/>
        <w:bottom w:val="none" w:sz="0" w:space="0" w:color="auto"/>
        <w:right w:val="none" w:sz="0" w:space="0" w:color="auto"/>
      </w:divBdr>
    </w:div>
    <w:div w:id="1610893667">
      <w:bodyDiv w:val="1"/>
      <w:marLeft w:val="0"/>
      <w:marRight w:val="0"/>
      <w:marTop w:val="0"/>
      <w:marBottom w:val="0"/>
      <w:divBdr>
        <w:top w:val="none" w:sz="0" w:space="0" w:color="auto"/>
        <w:left w:val="none" w:sz="0" w:space="0" w:color="auto"/>
        <w:bottom w:val="none" w:sz="0" w:space="0" w:color="auto"/>
        <w:right w:val="none" w:sz="0" w:space="0" w:color="auto"/>
      </w:divBdr>
    </w:div>
    <w:div w:id="1639141835">
      <w:bodyDiv w:val="1"/>
      <w:marLeft w:val="0"/>
      <w:marRight w:val="0"/>
      <w:marTop w:val="0"/>
      <w:marBottom w:val="0"/>
      <w:divBdr>
        <w:top w:val="none" w:sz="0" w:space="0" w:color="auto"/>
        <w:left w:val="none" w:sz="0" w:space="0" w:color="auto"/>
        <w:bottom w:val="none" w:sz="0" w:space="0" w:color="auto"/>
        <w:right w:val="none" w:sz="0" w:space="0" w:color="auto"/>
      </w:divBdr>
    </w:div>
    <w:div w:id="1685671004">
      <w:bodyDiv w:val="1"/>
      <w:marLeft w:val="0"/>
      <w:marRight w:val="0"/>
      <w:marTop w:val="0"/>
      <w:marBottom w:val="0"/>
      <w:divBdr>
        <w:top w:val="none" w:sz="0" w:space="0" w:color="auto"/>
        <w:left w:val="none" w:sz="0" w:space="0" w:color="auto"/>
        <w:bottom w:val="none" w:sz="0" w:space="0" w:color="auto"/>
        <w:right w:val="none" w:sz="0" w:space="0" w:color="auto"/>
      </w:divBdr>
    </w:div>
    <w:div w:id="1716612714">
      <w:bodyDiv w:val="1"/>
      <w:marLeft w:val="0"/>
      <w:marRight w:val="0"/>
      <w:marTop w:val="0"/>
      <w:marBottom w:val="0"/>
      <w:divBdr>
        <w:top w:val="none" w:sz="0" w:space="0" w:color="auto"/>
        <w:left w:val="none" w:sz="0" w:space="0" w:color="auto"/>
        <w:bottom w:val="none" w:sz="0" w:space="0" w:color="auto"/>
        <w:right w:val="none" w:sz="0" w:space="0" w:color="auto"/>
      </w:divBdr>
    </w:div>
    <w:div w:id="1752969472">
      <w:bodyDiv w:val="1"/>
      <w:marLeft w:val="0"/>
      <w:marRight w:val="0"/>
      <w:marTop w:val="0"/>
      <w:marBottom w:val="0"/>
      <w:divBdr>
        <w:top w:val="none" w:sz="0" w:space="0" w:color="auto"/>
        <w:left w:val="none" w:sz="0" w:space="0" w:color="auto"/>
        <w:bottom w:val="none" w:sz="0" w:space="0" w:color="auto"/>
        <w:right w:val="none" w:sz="0" w:space="0" w:color="auto"/>
      </w:divBdr>
    </w:div>
    <w:div w:id="1781340746">
      <w:bodyDiv w:val="1"/>
      <w:marLeft w:val="0"/>
      <w:marRight w:val="0"/>
      <w:marTop w:val="0"/>
      <w:marBottom w:val="0"/>
      <w:divBdr>
        <w:top w:val="none" w:sz="0" w:space="0" w:color="auto"/>
        <w:left w:val="none" w:sz="0" w:space="0" w:color="auto"/>
        <w:bottom w:val="none" w:sz="0" w:space="0" w:color="auto"/>
        <w:right w:val="none" w:sz="0" w:space="0" w:color="auto"/>
      </w:divBdr>
    </w:div>
    <w:div w:id="1837915805">
      <w:bodyDiv w:val="1"/>
      <w:marLeft w:val="0"/>
      <w:marRight w:val="0"/>
      <w:marTop w:val="0"/>
      <w:marBottom w:val="0"/>
      <w:divBdr>
        <w:top w:val="none" w:sz="0" w:space="0" w:color="auto"/>
        <w:left w:val="none" w:sz="0" w:space="0" w:color="auto"/>
        <w:bottom w:val="none" w:sz="0" w:space="0" w:color="auto"/>
        <w:right w:val="none" w:sz="0" w:space="0" w:color="auto"/>
      </w:divBdr>
    </w:div>
    <w:div w:id="1887982936">
      <w:bodyDiv w:val="1"/>
      <w:marLeft w:val="0"/>
      <w:marRight w:val="0"/>
      <w:marTop w:val="0"/>
      <w:marBottom w:val="0"/>
      <w:divBdr>
        <w:top w:val="none" w:sz="0" w:space="0" w:color="auto"/>
        <w:left w:val="none" w:sz="0" w:space="0" w:color="auto"/>
        <w:bottom w:val="none" w:sz="0" w:space="0" w:color="auto"/>
        <w:right w:val="none" w:sz="0" w:space="0" w:color="auto"/>
      </w:divBdr>
    </w:div>
    <w:div w:id="1935283619">
      <w:bodyDiv w:val="1"/>
      <w:marLeft w:val="0"/>
      <w:marRight w:val="0"/>
      <w:marTop w:val="0"/>
      <w:marBottom w:val="0"/>
      <w:divBdr>
        <w:top w:val="none" w:sz="0" w:space="0" w:color="auto"/>
        <w:left w:val="none" w:sz="0" w:space="0" w:color="auto"/>
        <w:bottom w:val="none" w:sz="0" w:space="0" w:color="auto"/>
        <w:right w:val="none" w:sz="0" w:space="0" w:color="auto"/>
      </w:divBdr>
    </w:div>
    <w:div w:id="1941444633">
      <w:bodyDiv w:val="1"/>
      <w:marLeft w:val="0"/>
      <w:marRight w:val="0"/>
      <w:marTop w:val="0"/>
      <w:marBottom w:val="0"/>
      <w:divBdr>
        <w:top w:val="none" w:sz="0" w:space="0" w:color="auto"/>
        <w:left w:val="none" w:sz="0" w:space="0" w:color="auto"/>
        <w:bottom w:val="none" w:sz="0" w:space="0" w:color="auto"/>
        <w:right w:val="none" w:sz="0" w:space="0" w:color="auto"/>
      </w:divBdr>
    </w:div>
    <w:div w:id="1964187209">
      <w:bodyDiv w:val="1"/>
      <w:marLeft w:val="0"/>
      <w:marRight w:val="0"/>
      <w:marTop w:val="0"/>
      <w:marBottom w:val="0"/>
      <w:divBdr>
        <w:top w:val="none" w:sz="0" w:space="0" w:color="auto"/>
        <w:left w:val="none" w:sz="0" w:space="0" w:color="auto"/>
        <w:bottom w:val="none" w:sz="0" w:space="0" w:color="auto"/>
        <w:right w:val="none" w:sz="0" w:space="0" w:color="auto"/>
      </w:divBdr>
    </w:div>
    <w:div w:id="1967004354">
      <w:bodyDiv w:val="1"/>
      <w:marLeft w:val="0"/>
      <w:marRight w:val="0"/>
      <w:marTop w:val="0"/>
      <w:marBottom w:val="0"/>
      <w:divBdr>
        <w:top w:val="none" w:sz="0" w:space="0" w:color="auto"/>
        <w:left w:val="none" w:sz="0" w:space="0" w:color="auto"/>
        <w:bottom w:val="none" w:sz="0" w:space="0" w:color="auto"/>
        <w:right w:val="none" w:sz="0" w:space="0" w:color="auto"/>
      </w:divBdr>
    </w:div>
    <w:div w:id="1973365649">
      <w:bodyDiv w:val="1"/>
      <w:marLeft w:val="0"/>
      <w:marRight w:val="0"/>
      <w:marTop w:val="0"/>
      <w:marBottom w:val="0"/>
      <w:divBdr>
        <w:top w:val="none" w:sz="0" w:space="0" w:color="auto"/>
        <w:left w:val="none" w:sz="0" w:space="0" w:color="auto"/>
        <w:bottom w:val="none" w:sz="0" w:space="0" w:color="auto"/>
        <w:right w:val="none" w:sz="0" w:space="0" w:color="auto"/>
      </w:divBdr>
    </w:div>
    <w:div w:id="2012683707">
      <w:bodyDiv w:val="1"/>
      <w:marLeft w:val="0"/>
      <w:marRight w:val="0"/>
      <w:marTop w:val="0"/>
      <w:marBottom w:val="0"/>
      <w:divBdr>
        <w:top w:val="none" w:sz="0" w:space="0" w:color="auto"/>
        <w:left w:val="none" w:sz="0" w:space="0" w:color="auto"/>
        <w:bottom w:val="none" w:sz="0" w:space="0" w:color="auto"/>
        <w:right w:val="none" w:sz="0" w:space="0" w:color="auto"/>
      </w:divBdr>
    </w:div>
    <w:div w:id="2014409035">
      <w:bodyDiv w:val="1"/>
      <w:marLeft w:val="0"/>
      <w:marRight w:val="0"/>
      <w:marTop w:val="0"/>
      <w:marBottom w:val="0"/>
      <w:divBdr>
        <w:top w:val="none" w:sz="0" w:space="0" w:color="auto"/>
        <w:left w:val="none" w:sz="0" w:space="0" w:color="auto"/>
        <w:bottom w:val="none" w:sz="0" w:space="0" w:color="auto"/>
        <w:right w:val="none" w:sz="0" w:space="0" w:color="auto"/>
      </w:divBdr>
    </w:div>
    <w:div w:id="2021200798">
      <w:bodyDiv w:val="1"/>
      <w:marLeft w:val="0"/>
      <w:marRight w:val="0"/>
      <w:marTop w:val="0"/>
      <w:marBottom w:val="0"/>
      <w:divBdr>
        <w:top w:val="none" w:sz="0" w:space="0" w:color="auto"/>
        <w:left w:val="none" w:sz="0" w:space="0" w:color="auto"/>
        <w:bottom w:val="none" w:sz="0" w:space="0" w:color="auto"/>
        <w:right w:val="none" w:sz="0" w:space="0" w:color="auto"/>
      </w:divBdr>
    </w:div>
    <w:div w:id="2023892529">
      <w:bodyDiv w:val="1"/>
      <w:marLeft w:val="0"/>
      <w:marRight w:val="0"/>
      <w:marTop w:val="0"/>
      <w:marBottom w:val="0"/>
      <w:divBdr>
        <w:top w:val="none" w:sz="0" w:space="0" w:color="auto"/>
        <w:left w:val="none" w:sz="0" w:space="0" w:color="auto"/>
        <w:bottom w:val="none" w:sz="0" w:space="0" w:color="auto"/>
        <w:right w:val="none" w:sz="0" w:space="0" w:color="auto"/>
      </w:divBdr>
    </w:div>
    <w:div w:id="2032803092">
      <w:bodyDiv w:val="1"/>
      <w:marLeft w:val="0"/>
      <w:marRight w:val="0"/>
      <w:marTop w:val="0"/>
      <w:marBottom w:val="0"/>
      <w:divBdr>
        <w:top w:val="none" w:sz="0" w:space="0" w:color="auto"/>
        <w:left w:val="none" w:sz="0" w:space="0" w:color="auto"/>
        <w:bottom w:val="none" w:sz="0" w:space="0" w:color="auto"/>
        <w:right w:val="none" w:sz="0" w:space="0" w:color="auto"/>
      </w:divBdr>
    </w:div>
    <w:div w:id="2080591549">
      <w:bodyDiv w:val="1"/>
      <w:marLeft w:val="0"/>
      <w:marRight w:val="0"/>
      <w:marTop w:val="0"/>
      <w:marBottom w:val="0"/>
      <w:divBdr>
        <w:top w:val="none" w:sz="0" w:space="0" w:color="auto"/>
        <w:left w:val="none" w:sz="0" w:space="0" w:color="auto"/>
        <w:bottom w:val="none" w:sz="0" w:space="0" w:color="auto"/>
        <w:right w:val="none" w:sz="0" w:space="0" w:color="auto"/>
      </w:divBdr>
    </w:div>
    <w:div w:id="209886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art@smeba.com.au"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mailto:stuart@smeba.com.au" TargetMode="External"/><Relationship Id="rId1" Type="http://schemas.openxmlformats.org/officeDocument/2006/relationships/hyperlink" Target="http://www.smeb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B90E8-3C6C-4153-B880-1CA7AB1A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Lee Wright</cp:lastModifiedBy>
  <cp:revision>13</cp:revision>
  <cp:lastPrinted>2018-10-02T01:03:00Z</cp:lastPrinted>
  <dcterms:created xsi:type="dcterms:W3CDTF">2018-11-20T01:33:00Z</dcterms:created>
  <dcterms:modified xsi:type="dcterms:W3CDTF">2018-11-22T00:18:00Z</dcterms:modified>
</cp:coreProperties>
</file>